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kern w:val="0"/>
          <w:sz w:val="44"/>
          <w:szCs w:val="44"/>
          <w:lang w:val="zh-CN" w:bidi="zh-CN"/>
        </w:rPr>
      </w:pPr>
      <w:r>
        <w:rPr>
          <w:rFonts w:hint="eastAsia" w:ascii="方正小标宋简体" w:hAnsi="方正小标宋简体" w:eastAsia="方正小标宋简体" w:cs="方正小标宋简体"/>
          <w:kern w:val="0"/>
          <w:sz w:val="44"/>
          <w:szCs w:val="44"/>
          <w:lang w:val="zh-CN" w:bidi="zh-CN"/>
        </w:rPr>
        <w:t>2021年河南省高等职业教育技能大赛</w:t>
      </w:r>
    </w:p>
    <w:p>
      <w:pPr>
        <w:keepNext w:val="0"/>
        <w:keepLines w:val="0"/>
        <w:pageBreakBefore w:val="0"/>
        <w:widowControl w:val="0"/>
        <w:kinsoku/>
        <w:wordWrap/>
        <w:overflowPunct/>
        <w:topLinePunct w:val="0"/>
        <w:autoSpaceDE w:val="0"/>
        <w:autoSpaceDN w:val="0"/>
        <w:bidi w:val="0"/>
        <w:adjustRightInd/>
        <w:snapToGrid/>
        <w:spacing w:line="600" w:lineRule="exact"/>
        <w:ind w:firstLine="0" w:firstLineChars="0"/>
        <w:jc w:val="center"/>
        <w:textAlignment w:val="auto"/>
        <w:outlineLvl w:val="9"/>
        <w:rPr>
          <w:rFonts w:hint="eastAsia"/>
        </w:rPr>
      </w:pPr>
      <w:r>
        <w:rPr>
          <w:rFonts w:hint="eastAsia" w:ascii="方正小标宋简体" w:hAnsi="方正小标宋简体" w:eastAsia="方正小标宋简体" w:cs="方正小标宋简体"/>
          <w:kern w:val="0"/>
          <w:sz w:val="44"/>
          <w:szCs w:val="44"/>
          <w:lang w:val="zh-CN" w:bidi="zh-CN"/>
        </w:rPr>
        <w:t>嵌入式技术应用开发</w:t>
      </w:r>
      <w:r>
        <w:rPr>
          <w:rFonts w:hint="eastAsia" w:ascii="方正小标宋简体" w:eastAsia="方正小标宋简体"/>
          <w:bCs/>
          <w:kern w:val="2"/>
          <w:sz w:val="44"/>
          <w:szCs w:val="44"/>
          <w:lang w:val="en-US" w:bidi="ar-SA"/>
        </w:rPr>
        <w:t>赛项</w:t>
      </w:r>
      <w:r>
        <w:rPr>
          <w:rFonts w:hint="eastAsia" w:ascii="方正小标宋简体" w:eastAsia="方正小标宋简体"/>
          <w:bCs/>
          <w:kern w:val="2"/>
          <w:sz w:val="44"/>
          <w:szCs w:val="44"/>
          <w:lang w:val="en-US" w:eastAsia="zh-CN" w:bidi="ar-SA"/>
        </w:rPr>
        <w:t>竞赛</w:t>
      </w:r>
      <w:r>
        <w:rPr>
          <w:rFonts w:hint="eastAsia" w:ascii="方正小标宋简体" w:eastAsia="方正小标宋简体"/>
          <w:bCs/>
          <w:kern w:val="2"/>
          <w:sz w:val="44"/>
          <w:szCs w:val="44"/>
          <w:lang w:val="en-US" w:bidi="ar-SA"/>
        </w:rPr>
        <w:t>方案</w:t>
      </w:r>
      <w:bookmarkStart w:id="0" w:name="_Toc382406748"/>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rPr>
      </w:pP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pPr>
      <w:r>
        <w:rPr>
          <w:rFonts w:hint="eastAsia"/>
        </w:rPr>
        <w:t>一、赛项名称</w:t>
      </w:r>
      <w:bookmarkEnd w:id="0"/>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ascii="Arial Narrow" w:hAnsi="Arial Narrow" w:cs="宋体"/>
          <w:sz w:val="30"/>
          <w:szCs w:val="30"/>
        </w:rPr>
      </w:pPr>
      <w:r>
        <w:rPr>
          <w:rFonts w:hint="eastAsia" w:ascii="Arial Narrow" w:hAnsi="Arial Narrow" w:cs="宋体"/>
          <w:sz w:val="30"/>
          <w:szCs w:val="30"/>
        </w:rPr>
        <w:t>赛项名称：</w:t>
      </w:r>
      <w:r>
        <w:rPr>
          <w:rFonts w:hint="eastAsia" w:hAnsi="仿宋_GB2312" w:cs="仿宋_GB2312"/>
          <w:sz w:val="30"/>
          <w:szCs w:val="30"/>
        </w:rPr>
        <w:t>嵌入式技术应用开发</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ascii="Arial Narrow" w:hAnsi="Arial Narrow" w:cs="宋体"/>
          <w:sz w:val="30"/>
          <w:szCs w:val="30"/>
        </w:rPr>
        <w:t>赛项编号</w:t>
      </w:r>
      <w:r>
        <w:rPr>
          <w:sz w:val="30"/>
          <w:szCs w:val="30"/>
        </w:rPr>
        <w:t>：GZ-2021031</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ascii="Arial Narrow" w:hAnsi="Arial Narrow" w:cs="宋体"/>
          <w:sz w:val="30"/>
          <w:szCs w:val="30"/>
        </w:rPr>
      </w:pPr>
      <w:r>
        <w:rPr>
          <w:rFonts w:hint="eastAsia" w:ascii="Arial Narrow" w:hAnsi="Arial Narrow" w:cs="宋体"/>
          <w:sz w:val="30"/>
          <w:szCs w:val="30"/>
        </w:rPr>
        <w:t>赛项组别：</w:t>
      </w:r>
      <w:r>
        <w:rPr>
          <w:rFonts w:hint="eastAsia" w:hAnsi="仿宋_GB2312" w:cs="仿宋_GB2312"/>
          <w:sz w:val="30"/>
          <w:szCs w:val="30"/>
        </w:rPr>
        <w:t>高职组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ascii="Arial Narrow" w:hAnsi="Arial Narrow" w:cs="宋体"/>
          <w:sz w:val="30"/>
          <w:szCs w:val="30"/>
          <w:u w:val="single"/>
        </w:rPr>
      </w:pPr>
      <w:r>
        <w:rPr>
          <w:rFonts w:hint="eastAsia" w:ascii="Arial Narrow" w:hAnsi="Arial Narrow" w:cs="宋体"/>
          <w:sz w:val="30"/>
          <w:szCs w:val="30"/>
          <w:lang w:val="en-US" w:eastAsia="zh-CN"/>
        </w:rPr>
        <w:t>专业大类</w:t>
      </w:r>
      <w:r>
        <w:rPr>
          <w:rFonts w:hint="eastAsia" w:ascii="Arial Narrow" w:hAnsi="Arial Narrow" w:cs="宋体"/>
          <w:sz w:val="30"/>
          <w:szCs w:val="30"/>
        </w:rPr>
        <w:t>：</w:t>
      </w:r>
      <w:r>
        <w:rPr>
          <w:rFonts w:hint="eastAsia" w:hAnsi="仿宋_GB2312" w:cs="仿宋_GB2312"/>
          <w:sz w:val="30"/>
          <w:szCs w:val="30"/>
        </w:rPr>
        <w:t>电子与信息大类</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outlineLvl w:val="9"/>
        <w:rPr>
          <w:rFonts w:ascii="仿宋_GB2312" w:hAnsi="仿宋" w:eastAsia="仿宋_GB2312"/>
          <w:sz w:val="30"/>
          <w:szCs w:val="30"/>
        </w:rPr>
      </w:pPr>
      <w:r>
        <w:rPr>
          <w:rFonts w:hint="eastAsia" w:ascii="仿宋_GB2312" w:hAnsi="仿宋" w:eastAsia="仿宋_GB2312"/>
          <w:bCs/>
          <w:sz w:val="30"/>
          <w:szCs w:val="30"/>
        </w:rPr>
        <w:t>主办单位：</w:t>
      </w:r>
      <w:r>
        <w:rPr>
          <w:rFonts w:hint="eastAsia" w:ascii="仿宋_GB2312" w:hAnsi="仿宋" w:eastAsia="仿宋_GB2312"/>
          <w:sz w:val="30"/>
          <w:szCs w:val="30"/>
        </w:rPr>
        <w:t>河南省教育厅</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outlineLvl w:val="9"/>
        <w:rPr>
          <w:sz w:val="30"/>
          <w:szCs w:val="30"/>
        </w:rPr>
      </w:pPr>
      <w:r>
        <w:rPr>
          <w:rFonts w:hint="eastAsia" w:hAnsi="仿宋"/>
          <w:bCs/>
          <w:sz w:val="30"/>
          <w:szCs w:val="30"/>
          <w:lang w:val="en-US" w:eastAsia="zh-CN"/>
        </w:rPr>
        <w:t>承</w:t>
      </w:r>
      <w:r>
        <w:rPr>
          <w:rFonts w:hint="eastAsia" w:ascii="仿宋_GB2312" w:hAnsi="仿宋" w:eastAsia="仿宋_GB2312"/>
          <w:bCs/>
          <w:sz w:val="30"/>
          <w:szCs w:val="30"/>
        </w:rPr>
        <w:t>办单位：</w:t>
      </w:r>
      <w:r>
        <w:rPr>
          <w:rFonts w:hint="eastAsia" w:hAnsi="仿宋"/>
          <w:sz w:val="30"/>
          <w:szCs w:val="30"/>
          <w:lang w:val="en-US" w:eastAsia="zh-CN"/>
        </w:rPr>
        <w:t>郑州铁路职业技术学院</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pPr>
      <w:bookmarkStart w:id="1" w:name="_Toc382406749"/>
      <w:r>
        <w:rPr>
          <w:rFonts w:hint="eastAsia"/>
        </w:rPr>
        <w:t>二、竞赛目的</w:t>
      </w:r>
      <w:bookmarkEnd w:id="1"/>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信息化时代、数字化时代使得嵌入式技术获得了巨大的发展契机，尤其是受人工智能、物联网等新一代信息技术的影响，嵌入式技术逐渐成为当前新一代信息技术落地到产业行业应用的基础保障。无论是新一代信息技术产业、高端装备制造业以及新能源汽车产业等国家战略新兴产业的快速落地，还是工业、农业、教育、交通等传统行业的转型升级，都离不开嵌入式技术的支撑。</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受行业智能化浪潮影响，嵌入式技术与人工智能、边缘计算等深度融合，逐渐形成以嵌入式技术为基础的边缘计算人工智能发展新趋势，即嵌入式人工智能。嵌入式人工智能致力于实现本地智能化，在不依赖网络的情况下，实现环境感知、人机交互、决策控制。像无人驾驶、车联网、智能机器人、智能可穿戴设备、智能家居、AR/VR等都可以及时的、迅速的在本地来处理决策，不必依赖于云端，嵌入式人工智能已经成为嵌入式技术发展的必然趋势。嵌入式技术应用开发赛项为适应行业发展需求，在竞赛涉及的感知、交互、决策等环节嵌入人工智能技术，融入符合新一代信息技术产业实际应用场景的嵌入式端智能化元素，像自动驾驶、车联网等，构建符合真实行业需求的竞赛环境。</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嵌入式技术应用开发赛项以“立德树人”、“德技并修”为指导思想，以服务“新基建”，“互联网+”，“中国制造2025”为宗旨，以促进国家战略性新兴产业落地实施为导向，推动新一代信息技术与基础设施的融合，支撑打造符合产业的升级、融合、创新的新型基础设施体系。加快政产学研一体化进程，构建以“竞赛”为中心、多方联合参与的新形态教学体系，进一步深化产教融合、校企合作协同育人，为行业、企业培养思想政治觉悟高、综合素质强的高技能复合型嵌入式技术紧缺人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本赛项设计借鉴了世界技能大赛的理念和竞赛方式，紧随嵌入式技术的最新发展趋势，重点考察嵌入式系统电路设计及应用、嵌入式微控制器技术及应用、传感器技术及应用、RFID技术及应用、无线传感网技术及应用、移动互联技术及应用、Android应用开发、机器视觉技术及应用、智能语音技术及应用、嵌入式人工智能与边缘计算技术应用等嵌入式技术核心知识和核心技能。赛项设计还采用嵌入式技术应用的真实场景，设计了完整的任务，能很好的考察选手的综合技能和应变能力。</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通过竞赛，引领教学实践、促进工学结合，搭建校企合作平台、深化产教融合、强化校企合作、推进协同育人，满足电子信息行业对嵌入式技术技能人才的快速增长需求，促进社会对嵌入式技术相关职业岗位的认可。</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通过竞赛，实现嵌入式技术行业企业资源与教学资源的有机融合，使高职院校在专业建设、课程建设、人才培养方案和人才培养模式等方面，跟踪社会发展的最新需要，引领相关专业的教育教学改革与专业建设，缩小人才培养与行业需求的差距，深化专业教学改革。</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通过竞赛，全面检验学生嵌入式技术应用开发工程实践能力、创新能力等综合职业能力；加强学生对嵌入式技术相关知识的理解、掌握和应用；培养学生的动手实操能力、团队协作能力、嵌入式技术的综合应用能力、突发应变能力、创新意识和职业素养；促进理论与实践相结合，增强技能型人才的就业竞争力，提高学生的就业质量和就业水平。</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通过竞赛，充分展示职业院校师生积极向上、奋发进取的精神风貌和职教改革成果。在锻炼学生综合能力的同时，培养出一批会知识、懂技术、熟项目的嵌入式技术专任教师。促进教师全面掌握行业企业对高素质嵌入式技术技能人才培养需求及相关职业岗位的技能要求，不断提高自身的专业水平与实践能力，加强自身“双师型”素养与水平，及时更新教学内容，改进教学方法，提高教学质量，形成师生同赛、教学相长的生动活泼的教学格局，从而推动嵌入式技术应用开发相关专业的教学改革，实现以赛促教、以赛促学、以赛促改、以赛促建。</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r>
        <w:rPr>
          <w:rFonts w:hint="eastAsia"/>
          <w:lang w:val="en-US" w:eastAsia="zh-CN"/>
        </w:rPr>
        <w:t>三、参赛资格</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sz w:val="30"/>
          <w:szCs w:val="30"/>
          <w:lang w:val="en-US"/>
        </w:rPr>
      </w:pPr>
      <w:r>
        <w:rPr>
          <w:rFonts w:hint="eastAsia"/>
          <w:sz w:val="30"/>
          <w:szCs w:val="30"/>
          <w:lang w:val="en-US"/>
        </w:rPr>
        <w:t>1.参赛队及参赛选手资格：每个参赛队由3名选手（设场上队长1名）和 1-2 名指导教师组成。参赛选手须为普通高等学校全日制在籍专科学生。本科院校中高职类全日制在籍学生可报名参赛。五年制高职学生报名参赛的，必须是四、五年级的在籍学生。参赛选手的年龄</w:t>
      </w:r>
      <w:r>
        <w:rPr>
          <w:rFonts w:hint="eastAsia"/>
          <w:color w:val="auto"/>
          <w:sz w:val="30"/>
          <w:szCs w:val="30"/>
          <w:lang w:val="en-US"/>
        </w:rPr>
        <w:t>不得超过 25 周岁，年龄计算的截至时间以2021年</w:t>
      </w:r>
      <w:r>
        <w:rPr>
          <w:rFonts w:hint="eastAsia"/>
          <w:color w:val="auto"/>
          <w:sz w:val="30"/>
          <w:szCs w:val="30"/>
          <w:lang w:val="en-US" w:eastAsia="zh-CN"/>
        </w:rPr>
        <w:t>10</w:t>
      </w:r>
      <w:r>
        <w:rPr>
          <w:rFonts w:hint="eastAsia"/>
          <w:color w:val="auto"/>
          <w:sz w:val="30"/>
          <w:szCs w:val="30"/>
          <w:lang w:val="en-US"/>
        </w:rPr>
        <w:t>月1日为准。</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sz w:val="30"/>
          <w:szCs w:val="30"/>
          <w:lang w:val="en-US"/>
        </w:rPr>
      </w:pPr>
      <w:r>
        <w:rPr>
          <w:rFonts w:hint="eastAsia"/>
          <w:sz w:val="30"/>
          <w:szCs w:val="30"/>
          <w:lang w:val="en-US"/>
        </w:rPr>
        <w:t>2.凡在往届全国职业院校技能大赛中获得一等奖</w:t>
      </w:r>
      <w:r>
        <w:rPr>
          <w:rFonts w:hint="eastAsia"/>
          <w:sz w:val="30"/>
          <w:szCs w:val="30"/>
          <w:lang w:val="en-US" w:eastAsia="zh-CN"/>
        </w:rPr>
        <w:t>的</w:t>
      </w:r>
      <w:r>
        <w:rPr>
          <w:rFonts w:hint="eastAsia"/>
          <w:sz w:val="30"/>
          <w:szCs w:val="30"/>
          <w:lang w:val="en-US"/>
        </w:rPr>
        <w:t>选手，不能再参加同一项目同一组别的比赛。</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r>
        <w:rPr>
          <w:rFonts w:hint="eastAsia"/>
          <w:lang w:val="en-US" w:eastAsia="zh-CN"/>
        </w:rPr>
        <w:t>四、参赛报名</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ascii="仿宋_GB2312" w:hAnsi="仿宋_GB2312" w:eastAsia="仿宋_GB2312" w:cs="仿宋_GB2312"/>
          <w:sz w:val="30"/>
          <w:szCs w:val="30"/>
          <w:highlight w:val="none"/>
          <w:lang w:val="en-US"/>
        </w:rPr>
      </w:pPr>
      <w:r>
        <w:rPr>
          <w:rFonts w:hint="eastAsia" w:ascii="仿宋_GB2312" w:hAnsi="仿宋_GB2312" w:eastAsia="仿宋_GB2312" w:cs="仿宋_GB2312"/>
          <w:sz w:val="30"/>
          <w:szCs w:val="30"/>
          <w:highlight w:val="none"/>
          <w:lang w:val="en-US"/>
        </w:rPr>
        <w:t>1.参赛院校</w:t>
      </w:r>
      <w:r>
        <w:rPr>
          <w:rFonts w:hint="eastAsia" w:ascii="仿宋_GB2312" w:hAnsi="仿宋_GB2312" w:eastAsia="仿宋_GB2312" w:cs="仿宋_GB2312"/>
          <w:color w:val="auto"/>
          <w:sz w:val="30"/>
          <w:szCs w:val="30"/>
          <w:highlight w:val="none"/>
          <w:lang w:val="en-US"/>
        </w:rPr>
        <w:t>须于</w:t>
      </w:r>
      <w:r>
        <w:rPr>
          <w:rFonts w:hint="eastAsia" w:hAnsi="仿宋_GB2312" w:cs="仿宋_GB2312"/>
          <w:color w:val="auto"/>
          <w:sz w:val="30"/>
          <w:szCs w:val="30"/>
          <w:highlight w:val="none"/>
          <w:lang w:val="en-US" w:eastAsia="zh-CN"/>
        </w:rPr>
        <w:t>11</w:t>
      </w:r>
      <w:r>
        <w:rPr>
          <w:rFonts w:hint="eastAsia" w:ascii="仿宋_GB2312" w:hAnsi="仿宋_GB2312" w:eastAsia="仿宋_GB2312" w:cs="仿宋_GB2312"/>
          <w:color w:val="auto"/>
          <w:sz w:val="30"/>
          <w:szCs w:val="30"/>
          <w:highlight w:val="none"/>
          <w:lang w:val="en-US"/>
        </w:rPr>
        <w:t>月</w:t>
      </w:r>
      <w:r>
        <w:rPr>
          <w:rFonts w:hint="eastAsia" w:hAnsi="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lang w:val="en-US"/>
        </w:rPr>
        <w:t>日前</w:t>
      </w:r>
      <w:r>
        <w:rPr>
          <w:rFonts w:hint="eastAsia" w:ascii="仿宋_GB2312" w:hAnsi="仿宋_GB2312" w:eastAsia="仿宋_GB2312" w:cs="仿宋_GB2312"/>
          <w:sz w:val="30"/>
          <w:szCs w:val="30"/>
          <w:highlight w:val="none"/>
          <w:lang w:val="en-US"/>
        </w:rPr>
        <w:t>登录河南省高职院校技能大赛报名系统（http://39.105.49.188/</w:t>
      </w:r>
      <w:r>
        <w:rPr>
          <w:sz w:val="30"/>
          <w:szCs w:val="30"/>
          <w:highlight w:val="none"/>
        </w:rPr>
        <w:fldChar w:fldCharType="begin"/>
      </w:r>
      <w:r>
        <w:rPr>
          <w:sz w:val="30"/>
          <w:szCs w:val="30"/>
          <w:highlight w:val="none"/>
        </w:rPr>
        <w:instrText xml:space="preserve"> HYPERLINK "http://39.105.49.188/" </w:instrText>
      </w:r>
      <w:r>
        <w:rPr>
          <w:sz w:val="30"/>
          <w:szCs w:val="30"/>
          <w:highlight w:val="none"/>
        </w:rPr>
        <w:fldChar w:fldCharType="separate"/>
      </w:r>
      <w:r>
        <w:rPr>
          <w:sz w:val="30"/>
          <w:szCs w:val="30"/>
          <w:highlight w:val="none"/>
        </w:rPr>
        <w:fldChar w:fldCharType="end"/>
      </w:r>
      <w:r>
        <w:rPr>
          <w:rFonts w:hint="eastAsia" w:ascii="仿宋_GB2312" w:hAnsi="仿宋_GB2312" w:eastAsia="仿宋_GB2312" w:cs="仿宋_GB2312"/>
          <w:sz w:val="30"/>
          <w:szCs w:val="30"/>
          <w:highlight w:val="none"/>
          <w:lang w:val="en-US"/>
        </w:rPr>
        <w:t>），按要求填报并提交参赛信息。</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ascii="仿宋_GB2312" w:hAnsi="仿宋_GB2312" w:eastAsia="仿宋_GB2312" w:cs="仿宋_GB2312"/>
          <w:sz w:val="30"/>
          <w:szCs w:val="30"/>
          <w:lang w:val="en-US"/>
        </w:rPr>
      </w:pPr>
      <w:r>
        <w:rPr>
          <w:rFonts w:hint="eastAsia" w:ascii="仿宋_GB2312" w:hAnsi="仿宋_GB2312" w:eastAsia="仿宋_GB2312" w:cs="仿宋_GB2312"/>
          <w:sz w:val="30"/>
          <w:szCs w:val="30"/>
          <w:lang w:val="en-US"/>
        </w:rPr>
        <w:t>2.各参赛校以学校为单位注册报名平台，专人负责报名工作。（技术支持：郭威老师，电话：13643997008）。</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hint="eastAsia" w:ascii="仿宋_GB2312" w:hAnsi="仿宋_GB2312" w:eastAsia="仿宋_GB2312" w:cs="仿宋_GB2312"/>
          <w:sz w:val="30"/>
          <w:szCs w:val="30"/>
          <w:highlight w:val="none"/>
          <w:lang w:val="en-US"/>
        </w:rPr>
      </w:pPr>
      <w:r>
        <w:rPr>
          <w:rFonts w:hint="eastAsia" w:ascii="仿宋_GB2312" w:hAnsi="仿宋_GB2312" w:eastAsia="仿宋_GB2312" w:cs="仿宋_GB2312"/>
          <w:sz w:val="30"/>
          <w:szCs w:val="30"/>
          <w:lang w:val="en-US"/>
        </w:rPr>
        <w:t>3.提交报名信息后，</w:t>
      </w:r>
      <w:r>
        <w:rPr>
          <w:rFonts w:hint="eastAsia" w:ascii="仿宋_GB2312" w:hAnsi="仿宋_GB2312" w:eastAsia="仿宋_GB2312" w:cs="仿宋_GB2312"/>
          <w:sz w:val="30"/>
          <w:szCs w:val="30"/>
          <w:u w:val="double"/>
          <w:lang w:val="en-US"/>
        </w:rPr>
        <w:t>参赛院校从系统导出报名表、赛项汇总表，连同参赛选手身份证复印件、学信网“教育部学籍在线验证报告”或省招办录取名册复印件各1份并加盖公章邮寄至承办学校（郑州</w:t>
      </w:r>
      <w:r>
        <w:rPr>
          <w:rFonts w:ascii="仿宋_GB2312" w:hAnsi="仿宋_GB2312" w:eastAsia="仿宋_GB2312" w:cs="仿宋_GB2312"/>
          <w:sz w:val="30"/>
          <w:szCs w:val="30"/>
          <w:u w:val="double"/>
          <w:lang w:val="en-US"/>
        </w:rPr>
        <w:t>铁路</w:t>
      </w:r>
      <w:r>
        <w:rPr>
          <w:rFonts w:hint="eastAsia" w:ascii="仿宋_GB2312" w:hAnsi="仿宋_GB2312" w:eastAsia="仿宋_GB2312" w:cs="仿宋_GB2312"/>
          <w:sz w:val="30"/>
          <w:szCs w:val="30"/>
          <w:u w:val="double"/>
          <w:lang w:val="en-US"/>
        </w:rPr>
        <w:t>职业技术学院）</w:t>
      </w:r>
      <w:r>
        <w:rPr>
          <w:rFonts w:hint="eastAsia" w:ascii="仿宋_GB2312" w:hAnsi="仿宋_GB2312" w:eastAsia="仿宋_GB2312" w:cs="仿宋_GB2312"/>
          <w:sz w:val="30"/>
          <w:szCs w:val="30"/>
          <w:lang w:val="en-US"/>
        </w:rPr>
        <w:t>。纸质报名材料接收截止时间为</w:t>
      </w:r>
      <w:r>
        <w:rPr>
          <w:rFonts w:hint="eastAsia" w:hAnsi="仿宋_GB2312" w:cs="仿宋_GB2312"/>
          <w:sz w:val="30"/>
          <w:szCs w:val="30"/>
          <w:lang w:val="en-US" w:eastAsia="zh-CN"/>
        </w:rPr>
        <w:t>11</w:t>
      </w:r>
      <w:r>
        <w:rPr>
          <w:rFonts w:hint="eastAsia" w:ascii="仿宋_GB2312" w:hAnsi="仿宋_GB2312" w:eastAsia="仿宋_GB2312" w:cs="仿宋_GB2312"/>
          <w:sz w:val="30"/>
          <w:szCs w:val="30"/>
          <w:lang w:val="en-US"/>
        </w:rPr>
        <w:t>月</w:t>
      </w:r>
      <w:r>
        <w:rPr>
          <w:rFonts w:hint="eastAsia" w:hAnsi="仿宋_GB2312" w:cs="仿宋_GB2312"/>
          <w:sz w:val="30"/>
          <w:szCs w:val="30"/>
          <w:lang w:val="en-US" w:eastAsia="zh-CN"/>
        </w:rPr>
        <w:t>5</w:t>
      </w:r>
      <w:r>
        <w:rPr>
          <w:rFonts w:hint="eastAsia" w:ascii="仿宋_GB2312" w:hAnsi="仿宋_GB2312" w:eastAsia="仿宋_GB2312" w:cs="仿宋_GB2312"/>
          <w:sz w:val="30"/>
          <w:szCs w:val="30"/>
          <w:lang w:val="en-US"/>
        </w:rPr>
        <w:t>日，以邮戳时间为准。</w:t>
      </w:r>
      <w:r>
        <w:rPr>
          <w:rFonts w:hint="eastAsia" w:ascii="仿宋_GB2312" w:hAnsi="仿宋_GB2312" w:eastAsia="仿宋_GB2312" w:cs="仿宋_GB2312"/>
          <w:sz w:val="30"/>
          <w:szCs w:val="30"/>
          <w:highlight w:val="none"/>
          <w:lang w:val="en-US"/>
        </w:rPr>
        <w:t>邮寄地址：河南省郑州市</w:t>
      </w:r>
      <w:r>
        <w:rPr>
          <w:rFonts w:hint="eastAsia" w:hAnsi="仿宋_GB2312" w:cs="仿宋_GB2312"/>
          <w:sz w:val="30"/>
          <w:szCs w:val="30"/>
          <w:highlight w:val="none"/>
          <w:lang w:val="en-US" w:eastAsia="zh-CN"/>
        </w:rPr>
        <w:t>郑东新区</w:t>
      </w:r>
      <w:r>
        <w:rPr>
          <w:rFonts w:hint="eastAsia" w:ascii="仿宋_GB2312" w:hAnsi="仿宋_GB2312" w:eastAsia="仿宋_GB2312" w:cs="仿宋_GB2312"/>
          <w:sz w:val="30"/>
          <w:szCs w:val="30"/>
          <w:highlight w:val="none"/>
          <w:lang w:val="en-US"/>
        </w:rPr>
        <w:t>鹏程大道56号</w:t>
      </w:r>
      <w:r>
        <w:rPr>
          <w:rFonts w:ascii="仿宋_GB2312" w:hAnsi="仿宋_GB2312" w:eastAsia="仿宋_GB2312" w:cs="仿宋_GB2312"/>
          <w:sz w:val="30"/>
          <w:szCs w:val="30"/>
          <w:highlight w:val="none"/>
          <w:lang w:val="en-US"/>
        </w:rPr>
        <w:t>郑州铁路职业技术学院</w:t>
      </w:r>
      <w:r>
        <w:rPr>
          <w:rFonts w:hint="eastAsia" w:ascii="仿宋_GB2312" w:hAnsi="仿宋_GB2312" w:eastAsia="仿宋_GB2312" w:cs="仿宋_GB2312"/>
          <w:sz w:val="30"/>
          <w:szCs w:val="30"/>
          <w:highlight w:val="none"/>
          <w:lang w:val="en-US"/>
        </w:rPr>
        <w:t>6号楼，邮编：451460；联系人：</w:t>
      </w:r>
      <w:r>
        <w:rPr>
          <w:rFonts w:hint="eastAsia" w:hAnsi="仿宋_GB2312" w:cs="仿宋_GB2312"/>
          <w:sz w:val="30"/>
          <w:szCs w:val="30"/>
          <w:highlight w:val="none"/>
          <w:lang w:val="en-US" w:eastAsia="zh-CN"/>
        </w:rPr>
        <w:t>王云飞</w:t>
      </w:r>
      <w:r>
        <w:rPr>
          <w:rFonts w:hint="eastAsia" w:ascii="仿宋_GB2312" w:hAnsi="仿宋_GB2312" w:eastAsia="仿宋_GB2312" w:cs="仿宋_GB2312"/>
          <w:sz w:val="30"/>
          <w:szCs w:val="30"/>
          <w:highlight w:val="none"/>
          <w:lang w:val="en-US"/>
        </w:rPr>
        <w:t>；联系电话：</w:t>
      </w:r>
      <w:r>
        <w:rPr>
          <w:rFonts w:hint="eastAsia" w:hAnsi="仿宋_GB2312" w:cs="仿宋_GB2312"/>
          <w:sz w:val="30"/>
          <w:szCs w:val="30"/>
          <w:highlight w:val="none"/>
          <w:lang w:val="en-US" w:eastAsia="zh-CN"/>
        </w:rPr>
        <w:t>18736073205</w:t>
      </w:r>
      <w:r>
        <w:rPr>
          <w:rFonts w:hint="eastAsia" w:ascii="仿宋_GB2312" w:hAnsi="仿宋_GB2312" w:eastAsia="仿宋_GB2312" w:cs="仿宋_GB2312"/>
          <w:sz w:val="30"/>
          <w:szCs w:val="30"/>
          <w:highlight w:val="none"/>
          <w:lang w:val="en-US"/>
        </w:rPr>
        <w:t>。</w:t>
      </w:r>
    </w:p>
    <w:p>
      <w:pPr>
        <w:keepNext w:val="0"/>
        <w:keepLines w:val="0"/>
        <w:pageBreakBefore w:val="0"/>
        <w:widowControl w:val="0"/>
        <w:kinsoku/>
        <w:wordWrap/>
        <w:overflowPunct/>
        <w:topLinePunct w:val="0"/>
        <w:autoSpaceDE/>
        <w:autoSpaceDN/>
        <w:bidi w:val="0"/>
        <w:adjustRightInd/>
        <w:snapToGrid/>
        <w:spacing w:line="560" w:lineRule="exact"/>
        <w:ind w:firstLine="606" w:firstLineChars="202"/>
        <w:textAlignment w:val="auto"/>
        <w:outlineLvl w:val="9"/>
        <w:rPr>
          <w:rFonts w:hint="eastAsia" w:ascii="仿宋_GB2312" w:hAnsi="仿宋_GB2312" w:eastAsia="仿宋_GB2312" w:cs="仿宋_GB2312"/>
          <w:sz w:val="28"/>
          <w:szCs w:val="28"/>
          <w:highlight w:val="none"/>
          <w:lang w:val="en-US"/>
        </w:rPr>
      </w:pPr>
      <w:r>
        <w:rPr>
          <w:rFonts w:hint="eastAsia" w:ascii="仿宋_GB2312" w:hAnsi="仿宋" w:eastAsia="仿宋_GB2312"/>
          <w:sz w:val="30"/>
          <w:szCs w:val="30"/>
          <w:lang w:val="en-US" w:eastAsia="zh-CN"/>
        </w:rPr>
        <w:t>4.承</w:t>
      </w:r>
      <w:r>
        <w:rPr>
          <w:rFonts w:ascii="仿宋_GB2312" w:hAnsi="仿宋" w:eastAsia="仿宋_GB2312"/>
          <w:sz w:val="30"/>
          <w:szCs w:val="30"/>
        </w:rPr>
        <w:t>办学校收到纸质报名材料，按参赛条件的要求认真审核参赛选手和指导教师资格，审核通过报名成功。</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r>
        <w:rPr>
          <w:rFonts w:hint="eastAsia"/>
          <w:lang w:val="en-US" w:eastAsia="zh-CN"/>
        </w:rPr>
        <w:t>五</w:t>
      </w:r>
      <w:r>
        <w:rPr>
          <w:rFonts w:hint="eastAsia"/>
        </w:rPr>
        <w:t>、竞赛</w:t>
      </w:r>
      <w:r>
        <w:rPr>
          <w:rFonts w:hint="eastAsia"/>
          <w:lang w:val="en-US" w:eastAsia="zh-CN"/>
        </w:rPr>
        <w:t>日程安排（具体以《参赛指南》为准）</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p>
    <w:p>
      <w:pPr>
        <w:ind w:firstLine="0" w:firstLineChars="0"/>
        <w:jc w:val="center"/>
        <w:rPr>
          <w:rFonts w:hAnsi="仿宋_GB2312" w:cs="仿宋_GB2312"/>
          <w:b/>
          <w:bCs/>
          <w:color w:val="000000"/>
          <w:sz w:val="24"/>
          <w:szCs w:val="24"/>
        </w:rPr>
      </w:pPr>
      <w:r>
        <w:rPr>
          <w:rFonts w:hint="eastAsia" w:hAnsi="仿宋_GB2312" w:cs="仿宋_GB2312"/>
          <w:b/>
          <w:bCs/>
          <w:color w:val="000000"/>
          <w:sz w:val="24"/>
          <w:szCs w:val="24"/>
        </w:rPr>
        <w:t>表1 嵌入式技术应用开发赛项竞赛时间及流程安排表</w:t>
      </w:r>
    </w:p>
    <w:tbl>
      <w:tblPr>
        <w:tblStyle w:val="10"/>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913"/>
        <w:gridCol w:w="5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pStyle w:val="15"/>
              <w:rPr>
                <w:rFonts w:hint="eastAsia" w:ascii="黑体" w:hAnsi="黑体" w:eastAsia="黑体" w:cs="黑体"/>
                <w:lang w:val="en-US" w:eastAsia="zh-CN"/>
              </w:rPr>
            </w:pPr>
            <w:r>
              <w:rPr>
                <w:rFonts w:hint="eastAsia" w:ascii="黑体" w:hAnsi="黑体" w:eastAsia="黑体" w:cs="黑体"/>
                <w:lang w:val="en-US" w:eastAsia="zh-CN"/>
              </w:rPr>
              <w:t>日期</w:t>
            </w:r>
          </w:p>
        </w:tc>
        <w:tc>
          <w:tcPr>
            <w:tcW w:w="1913" w:type="dxa"/>
            <w:vAlign w:val="center"/>
          </w:tcPr>
          <w:p>
            <w:pPr>
              <w:pStyle w:val="15"/>
              <w:rPr>
                <w:rFonts w:hint="eastAsia" w:ascii="黑体" w:hAnsi="黑体" w:eastAsia="黑体" w:cs="黑体"/>
                <w:lang w:val="en-US" w:eastAsia="zh-CN"/>
              </w:rPr>
            </w:pPr>
            <w:r>
              <w:rPr>
                <w:rFonts w:hint="eastAsia" w:ascii="黑体" w:hAnsi="黑体" w:eastAsia="黑体" w:cs="黑体"/>
                <w:lang w:val="en-US" w:eastAsia="zh-CN"/>
              </w:rPr>
              <w:t>时间</w:t>
            </w:r>
          </w:p>
        </w:tc>
        <w:tc>
          <w:tcPr>
            <w:tcW w:w="5649" w:type="dxa"/>
            <w:vAlign w:val="center"/>
          </w:tcPr>
          <w:p>
            <w:pPr>
              <w:pStyle w:val="15"/>
              <w:rPr>
                <w:rFonts w:hint="eastAsia" w:ascii="黑体" w:hAnsi="黑体" w:eastAsia="黑体" w:cs="黑体"/>
                <w:lang w:val="en-US" w:eastAsia="zh-CN"/>
              </w:rPr>
            </w:pPr>
            <w:r>
              <w:rPr>
                <w:rFonts w:hint="eastAsia" w:ascii="黑体" w:hAnsi="黑体" w:eastAsia="黑体" w:cs="黑体"/>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pStyle w:val="15"/>
              <w:rPr>
                <w:rFonts w:hint="default" w:eastAsia="仿宋_GB2312"/>
                <w:sz w:val="24"/>
                <w:szCs w:val="24"/>
                <w:lang w:val="en-US" w:eastAsia="zh-CN"/>
              </w:rPr>
            </w:pPr>
            <w:r>
              <w:rPr>
                <w:rFonts w:hint="eastAsia"/>
                <w:sz w:val="24"/>
                <w:szCs w:val="24"/>
                <w:lang w:val="en-US" w:eastAsia="zh-CN"/>
              </w:rPr>
              <w:t>12月15日</w:t>
            </w:r>
          </w:p>
        </w:tc>
        <w:tc>
          <w:tcPr>
            <w:tcW w:w="1913" w:type="dxa"/>
            <w:vAlign w:val="center"/>
          </w:tcPr>
          <w:p>
            <w:pPr>
              <w:pStyle w:val="15"/>
              <w:rPr>
                <w:sz w:val="24"/>
                <w:szCs w:val="24"/>
              </w:rPr>
            </w:pPr>
            <w:r>
              <w:rPr>
                <w:rFonts w:hint="eastAsia"/>
                <w:sz w:val="24"/>
                <w:szCs w:val="24"/>
              </w:rPr>
              <w:t>1</w:t>
            </w:r>
            <w:r>
              <w:rPr>
                <w:rFonts w:hint="eastAsia"/>
                <w:sz w:val="24"/>
                <w:szCs w:val="24"/>
                <w:lang w:val="en-US" w:eastAsia="zh-CN"/>
              </w:rPr>
              <w:t>5</w:t>
            </w:r>
            <w:r>
              <w:rPr>
                <w:rFonts w:hint="eastAsia"/>
                <w:sz w:val="24"/>
                <w:szCs w:val="24"/>
              </w:rPr>
              <w:t>:</w:t>
            </w:r>
            <w:r>
              <w:rPr>
                <w:rFonts w:hint="eastAsia"/>
                <w:sz w:val="24"/>
                <w:szCs w:val="24"/>
                <w:lang w:val="en-US" w:eastAsia="zh-CN"/>
              </w:rPr>
              <w:t>0</w:t>
            </w:r>
            <w:r>
              <w:rPr>
                <w:rFonts w:hint="eastAsia"/>
                <w:sz w:val="24"/>
                <w:szCs w:val="24"/>
              </w:rPr>
              <w:t>0-15:</w:t>
            </w:r>
            <w:r>
              <w:rPr>
                <w:rFonts w:hint="eastAsia"/>
                <w:sz w:val="24"/>
                <w:szCs w:val="24"/>
                <w:lang w:val="en-US" w:eastAsia="zh-CN"/>
              </w:rPr>
              <w:t>3</w:t>
            </w:r>
            <w:r>
              <w:rPr>
                <w:rFonts w:hint="eastAsia"/>
                <w:sz w:val="24"/>
                <w:szCs w:val="24"/>
              </w:rPr>
              <w:t>0</w:t>
            </w:r>
          </w:p>
        </w:tc>
        <w:tc>
          <w:tcPr>
            <w:tcW w:w="5649" w:type="dxa"/>
            <w:vAlign w:val="center"/>
          </w:tcPr>
          <w:p>
            <w:pPr>
              <w:pStyle w:val="15"/>
              <w:rPr>
                <w:rFonts w:hint="eastAsia" w:eastAsia="仿宋_GB2312"/>
                <w:sz w:val="24"/>
                <w:szCs w:val="24"/>
                <w:lang w:eastAsia="zh-CN"/>
              </w:rPr>
            </w:pPr>
            <w:r>
              <w:rPr>
                <w:rFonts w:hint="eastAsia"/>
                <w:sz w:val="24"/>
                <w:szCs w:val="24"/>
              </w:rPr>
              <w:t>召开领队与指导教师赛项说明会，抽取竞赛检录顺序号</w:t>
            </w:r>
            <w:r>
              <w:rPr>
                <w:rFonts w:hint="eastAsia"/>
                <w:sz w:val="24"/>
                <w:szCs w:val="24"/>
                <w:lang w:eastAsia="zh-CN"/>
              </w:rPr>
              <w:t>（</w:t>
            </w:r>
            <w:r>
              <w:rPr>
                <w:rFonts w:hint="eastAsia"/>
                <w:sz w:val="24"/>
                <w:szCs w:val="24"/>
                <w:lang w:val="en-US" w:eastAsia="zh-CN"/>
              </w:rPr>
              <w:t>地点：7号楼1层第二报告厅</w:t>
            </w:r>
            <w:r>
              <w:rPr>
                <w:rFonts w:hint="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15:</w:t>
            </w:r>
            <w:r>
              <w:rPr>
                <w:rFonts w:hint="eastAsia"/>
                <w:sz w:val="24"/>
                <w:szCs w:val="24"/>
                <w:lang w:val="en-US" w:eastAsia="zh-CN"/>
              </w:rPr>
              <w:t>3</w:t>
            </w:r>
            <w:r>
              <w:rPr>
                <w:rFonts w:hint="eastAsia"/>
                <w:sz w:val="24"/>
                <w:szCs w:val="24"/>
              </w:rPr>
              <w:t>0-1</w:t>
            </w:r>
            <w:r>
              <w:rPr>
                <w:sz w:val="24"/>
                <w:szCs w:val="24"/>
              </w:rPr>
              <w:t>6</w:t>
            </w:r>
            <w:r>
              <w:rPr>
                <w:rFonts w:hint="eastAsia"/>
                <w:sz w:val="24"/>
                <w:szCs w:val="24"/>
              </w:rPr>
              <w:t>:</w:t>
            </w:r>
            <w:r>
              <w:rPr>
                <w:rFonts w:hint="eastAsia"/>
                <w:sz w:val="24"/>
                <w:szCs w:val="24"/>
                <w:lang w:val="en-US" w:eastAsia="zh-CN"/>
              </w:rPr>
              <w:t>0</w:t>
            </w:r>
            <w:r>
              <w:rPr>
                <w:rFonts w:hint="eastAsia"/>
                <w:sz w:val="24"/>
                <w:szCs w:val="24"/>
              </w:rPr>
              <w:t>0</w:t>
            </w:r>
          </w:p>
        </w:tc>
        <w:tc>
          <w:tcPr>
            <w:tcW w:w="5649" w:type="dxa"/>
            <w:vAlign w:val="center"/>
          </w:tcPr>
          <w:p>
            <w:pPr>
              <w:pStyle w:val="15"/>
              <w:rPr>
                <w:rFonts w:hint="eastAsia" w:eastAsia="仿宋_GB2312"/>
                <w:sz w:val="24"/>
                <w:szCs w:val="24"/>
                <w:lang w:val="en-US" w:eastAsia="zh-CN"/>
              </w:rPr>
            </w:pPr>
            <w:r>
              <w:rPr>
                <w:rFonts w:hint="eastAsia"/>
                <w:sz w:val="24"/>
                <w:szCs w:val="24"/>
              </w:rPr>
              <w:t>参赛选手熟悉场地</w:t>
            </w:r>
            <w:r>
              <w:rPr>
                <w:rFonts w:hint="eastAsia"/>
                <w:sz w:val="24"/>
                <w:szCs w:val="24"/>
                <w:lang w:eastAsia="zh-CN"/>
              </w:rPr>
              <w:t>（</w:t>
            </w:r>
            <w:r>
              <w:rPr>
                <w:rFonts w:hint="eastAsia"/>
                <w:sz w:val="24"/>
                <w:szCs w:val="24"/>
                <w:lang w:val="en-US" w:eastAsia="zh-CN"/>
              </w:rPr>
              <w:t>地点:6号楼6层C区</w:t>
            </w:r>
            <w:r>
              <w:rPr>
                <w:rFonts w:hint="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pStyle w:val="15"/>
              <w:rPr>
                <w:sz w:val="24"/>
                <w:szCs w:val="24"/>
              </w:rPr>
            </w:pPr>
          </w:p>
          <w:p>
            <w:pPr>
              <w:pStyle w:val="15"/>
              <w:rPr>
                <w:sz w:val="24"/>
                <w:szCs w:val="24"/>
              </w:rPr>
            </w:pPr>
          </w:p>
          <w:p>
            <w:pPr>
              <w:pStyle w:val="15"/>
              <w:rPr>
                <w:sz w:val="24"/>
                <w:szCs w:val="24"/>
              </w:rPr>
            </w:pPr>
          </w:p>
          <w:p>
            <w:pPr>
              <w:pStyle w:val="15"/>
              <w:rPr>
                <w:sz w:val="24"/>
                <w:szCs w:val="24"/>
              </w:rPr>
            </w:pPr>
          </w:p>
          <w:p>
            <w:pPr>
              <w:pStyle w:val="15"/>
              <w:rPr>
                <w:sz w:val="24"/>
                <w:szCs w:val="24"/>
              </w:rPr>
            </w:pPr>
          </w:p>
          <w:p>
            <w:pPr>
              <w:pStyle w:val="15"/>
              <w:rPr>
                <w:sz w:val="24"/>
                <w:szCs w:val="24"/>
              </w:rPr>
            </w:pPr>
          </w:p>
          <w:p>
            <w:pPr>
              <w:pStyle w:val="15"/>
              <w:rPr>
                <w:sz w:val="24"/>
                <w:szCs w:val="24"/>
              </w:rPr>
            </w:pPr>
          </w:p>
          <w:p>
            <w:pPr>
              <w:pStyle w:val="15"/>
              <w:rPr>
                <w:rFonts w:hint="default" w:eastAsia="仿宋_GB2312"/>
                <w:sz w:val="24"/>
                <w:szCs w:val="24"/>
                <w:lang w:val="en-US" w:eastAsia="zh-CN"/>
              </w:rPr>
            </w:pPr>
            <w:r>
              <w:rPr>
                <w:rFonts w:hint="eastAsia"/>
                <w:sz w:val="24"/>
                <w:szCs w:val="24"/>
                <w:lang w:val="en-US" w:eastAsia="zh-CN"/>
              </w:rPr>
              <w:t>12月16日</w:t>
            </w:r>
          </w:p>
        </w:tc>
        <w:tc>
          <w:tcPr>
            <w:tcW w:w="1913" w:type="dxa"/>
            <w:vAlign w:val="center"/>
          </w:tcPr>
          <w:p>
            <w:pPr>
              <w:pStyle w:val="15"/>
              <w:rPr>
                <w:sz w:val="24"/>
                <w:szCs w:val="24"/>
              </w:rPr>
            </w:pPr>
            <w:r>
              <w:rPr>
                <w:rFonts w:hint="eastAsia"/>
                <w:sz w:val="24"/>
                <w:szCs w:val="24"/>
              </w:rPr>
              <w:t>0</w:t>
            </w:r>
            <w:r>
              <w:rPr>
                <w:sz w:val="24"/>
                <w:szCs w:val="24"/>
              </w:rPr>
              <w:t>7</w:t>
            </w:r>
            <w:r>
              <w:rPr>
                <w:rFonts w:hint="eastAsia"/>
                <w:sz w:val="24"/>
                <w:szCs w:val="24"/>
              </w:rPr>
              <w:t>:00</w:t>
            </w:r>
          </w:p>
        </w:tc>
        <w:tc>
          <w:tcPr>
            <w:tcW w:w="5649" w:type="dxa"/>
            <w:vAlign w:val="center"/>
          </w:tcPr>
          <w:p>
            <w:pPr>
              <w:pStyle w:val="15"/>
              <w:rPr>
                <w:sz w:val="24"/>
                <w:szCs w:val="24"/>
              </w:rPr>
            </w:pPr>
            <w:r>
              <w:rPr>
                <w:rFonts w:hint="eastAsia"/>
                <w:sz w:val="24"/>
                <w:szCs w:val="24"/>
              </w:rPr>
              <w:t>参赛选手到指定地点集合检录</w:t>
            </w:r>
            <w:r>
              <w:rPr>
                <w:rFonts w:hint="eastAsia"/>
                <w:sz w:val="24"/>
                <w:szCs w:val="24"/>
                <w:lang w:eastAsia="zh-CN"/>
              </w:rPr>
              <w:t>（</w:t>
            </w:r>
            <w:r>
              <w:rPr>
                <w:rFonts w:hint="eastAsia"/>
                <w:sz w:val="24"/>
                <w:szCs w:val="24"/>
                <w:lang w:val="en-US" w:eastAsia="zh-CN"/>
              </w:rPr>
              <w:t>地点:6号楼6层C区电梯口大厅</w:t>
            </w:r>
            <w:r>
              <w:rPr>
                <w:rFonts w:hint="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07:00-07:20</w:t>
            </w:r>
          </w:p>
        </w:tc>
        <w:tc>
          <w:tcPr>
            <w:tcW w:w="5649" w:type="dxa"/>
            <w:vAlign w:val="center"/>
          </w:tcPr>
          <w:p>
            <w:pPr>
              <w:pStyle w:val="15"/>
              <w:rPr>
                <w:sz w:val="24"/>
                <w:szCs w:val="24"/>
              </w:rPr>
            </w:pPr>
            <w:r>
              <w:rPr>
                <w:rFonts w:hint="eastAsia"/>
                <w:sz w:val="24"/>
                <w:szCs w:val="24"/>
              </w:rPr>
              <w:t>自带设备工具检查，参赛选手一次加密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07:20-07:40</w:t>
            </w:r>
          </w:p>
        </w:tc>
        <w:tc>
          <w:tcPr>
            <w:tcW w:w="5649" w:type="dxa"/>
            <w:vAlign w:val="center"/>
          </w:tcPr>
          <w:p>
            <w:pPr>
              <w:pStyle w:val="15"/>
              <w:rPr>
                <w:sz w:val="24"/>
                <w:szCs w:val="24"/>
              </w:rPr>
            </w:pPr>
            <w:r>
              <w:rPr>
                <w:rFonts w:hint="eastAsia"/>
                <w:sz w:val="24"/>
                <w:szCs w:val="24"/>
              </w:rPr>
              <w:t>参赛选手二次加密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07:40-07:50</w:t>
            </w:r>
          </w:p>
        </w:tc>
        <w:tc>
          <w:tcPr>
            <w:tcW w:w="5649" w:type="dxa"/>
            <w:vAlign w:val="center"/>
          </w:tcPr>
          <w:p>
            <w:pPr>
              <w:pStyle w:val="15"/>
              <w:rPr>
                <w:sz w:val="24"/>
                <w:szCs w:val="24"/>
              </w:rPr>
            </w:pPr>
            <w:r>
              <w:rPr>
                <w:rFonts w:hint="eastAsia"/>
                <w:sz w:val="24"/>
                <w:szCs w:val="24"/>
              </w:rPr>
              <w:t>赛位设备工具检查并签字确认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07:50-07:55</w:t>
            </w:r>
          </w:p>
        </w:tc>
        <w:tc>
          <w:tcPr>
            <w:tcW w:w="5649" w:type="dxa"/>
            <w:vAlign w:val="center"/>
          </w:tcPr>
          <w:p>
            <w:pPr>
              <w:pStyle w:val="15"/>
              <w:rPr>
                <w:sz w:val="24"/>
                <w:szCs w:val="24"/>
              </w:rPr>
            </w:pPr>
            <w:r>
              <w:rPr>
                <w:rFonts w:hint="eastAsia"/>
                <w:sz w:val="24"/>
                <w:szCs w:val="24"/>
              </w:rPr>
              <w:t>裁判长讲解竞赛注意事项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07:55-08:00</w:t>
            </w:r>
          </w:p>
        </w:tc>
        <w:tc>
          <w:tcPr>
            <w:tcW w:w="5649" w:type="dxa"/>
            <w:vAlign w:val="center"/>
          </w:tcPr>
          <w:p>
            <w:pPr>
              <w:pStyle w:val="15"/>
              <w:rPr>
                <w:sz w:val="24"/>
                <w:szCs w:val="24"/>
              </w:rPr>
            </w:pPr>
            <w:r>
              <w:rPr>
                <w:rFonts w:hint="eastAsia"/>
                <w:sz w:val="24"/>
                <w:szCs w:val="24"/>
              </w:rPr>
              <w:t>发放第一模块赛题，竞赛开始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08:00-10:</w:t>
            </w:r>
            <w:r>
              <w:rPr>
                <w:sz w:val="24"/>
                <w:szCs w:val="24"/>
              </w:rPr>
              <w:t>30</w:t>
            </w:r>
          </w:p>
        </w:tc>
        <w:tc>
          <w:tcPr>
            <w:tcW w:w="5649" w:type="dxa"/>
            <w:vAlign w:val="center"/>
          </w:tcPr>
          <w:p>
            <w:pPr>
              <w:pStyle w:val="15"/>
              <w:rPr>
                <w:sz w:val="24"/>
                <w:szCs w:val="24"/>
              </w:rPr>
            </w:pPr>
            <w:r>
              <w:rPr>
                <w:rFonts w:hint="eastAsia"/>
                <w:sz w:val="24"/>
                <w:szCs w:val="24"/>
              </w:rPr>
              <w:t>第一模块竞赛阶段</w:t>
            </w:r>
          </w:p>
          <w:p>
            <w:pPr>
              <w:pStyle w:val="15"/>
              <w:rPr>
                <w:sz w:val="24"/>
                <w:szCs w:val="24"/>
              </w:rPr>
            </w:pPr>
            <w:r>
              <w:rPr>
                <w:rFonts w:hint="eastAsia"/>
                <w:sz w:val="24"/>
                <w:szCs w:val="24"/>
              </w:rPr>
              <w:t>（嵌入式系统硬件制作与驱动开发）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10:30-11:</w:t>
            </w:r>
            <w:r>
              <w:rPr>
                <w:sz w:val="24"/>
                <w:szCs w:val="24"/>
              </w:rPr>
              <w:t>40</w:t>
            </w:r>
          </w:p>
        </w:tc>
        <w:tc>
          <w:tcPr>
            <w:tcW w:w="5649" w:type="dxa"/>
            <w:vAlign w:val="center"/>
          </w:tcPr>
          <w:p>
            <w:pPr>
              <w:pStyle w:val="15"/>
              <w:rPr>
                <w:sz w:val="24"/>
                <w:szCs w:val="24"/>
              </w:rPr>
            </w:pPr>
            <w:r>
              <w:rPr>
                <w:rFonts w:hint="eastAsia"/>
                <w:sz w:val="24"/>
                <w:szCs w:val="24"/>
              </w:rPr>
              <w:t>第一模块竞赛测评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11:</w:t>
            </w:r>
            <w:r>
              <w:rPr>
                <w:sz w:val="24"/>
                <w:szCs w:val="24"/>
              </w:rPr>
              <w:t>40</w:t>
            </w:r>
            <w:r>
              <w:rPr>
                <w:rFonts w:hint="eastAsia"/>
                <w:sz w:val="24"/>
                <w:szCs w:val="24"/>
              </w:rPr>
              <w:t>-12:00</w:t>
            </w:r>
          </w:p>
        </w:tc>
        <w:tc>
          <w:tcPr>
            <w:tcW w:w="5649" w:type="dxa"/>
            <w:vAlign w:val="center"/>
          </w:tcPr>
          <w:p>
            <w:pPr>
              <w:pStyle w:val="15"/>
              <w:rPr>
                <w:sz w:val="24"/>
                <w:szCs w:val="24"/>
              </w:rPr>
            </w:pPr>
            <w:r>
              <w:rPr>
                <w:rFonts w:hint="eastAsia"/>
                <w:sz w:val="24"/>
                <w:szCs w:val="24"/>
              </w:rPr>
              <w:t>发放第二模块赛题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12:00-16:</w:t>
            </w:r>
            <w:r>
              <w:rPr>
                <w:sz w:val="24"/>
                <w:szCs w:val="24"/>
              </w:rPr>
              <w:t>0</w:t>
            </w:r>
            <w:r>
              <w:rPr>
                <w:rFonts w:hint="eastAsia"/>
                <w:sz w:val="24"/>
                <w:szCs w:val="24"/>
              </w:rPr>
              <w:t>0</w:t>
            </w:r>
          </w:p>
        </w:tc>
        <w:tc>
          <w:tcPr>
            <w:tcW w:w="5649" w:type="dxa"/>
            <w:vAlign w:val="center"/>
          </w:tcPr>
          <w:p>
            <w:pPr>
              <w:pStyle w:val="15"/>
              <w:rPr>
                <w:sz w:val="24"/>
                <w:szCs w:val="24"/>
              </w:rPr>
            </w:pPr>
            <w:r>
              <w:rPr>
                <w:rFonts w:hint="eastAsia"/>
                <w:sz w:val="24"/>
                <w:szCs w:val="24"/>
              </w:rPr>
              <w:t>第二模块竞赛阶段</w:t>
            </w:r>
          </w:p>
          <w:p>
            <w:pPr>
              <w:pStyle w:val="15"/>
              <w:rPr>
                <w:sz w:val="24"/>
                <w:szCs w:val="24"/>
              </w:rPr>
            </w:pPr>
            <w:r>
              <w:rPr>
                <w:rFonts w:hint="eastAsia"/>
                <w:sz w:val="24"/>
                <w:szCs w:val="24"/>
              </w:rPr>
              <w:t>（嵌入式应用程序开发</w:t>
            </w:r>
            <w:r>
              <w:rPr>
                <w:rFonts w:hint="eastAsia"/>
                <w:sz w:val="24"/>
                <w:szCs w:val="24"/>
                <w:lang w:val="en-US" w:eastAsia="zh-CN"/>
              </w:rPr>
              <w:t>及</w:t>
            </w:r>
            <w:r>
              <w:rPr>
                <w:rFonts w:hint="eastAsia"/>
                <w:sz w:val="24"/>
                <w:szCs w:val="24"/>
              </w:rPr>
              <w:t>嵌入式边缘计算应用开发）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16:</w:t>
            </w:r>
            <w:r>
              <w:rPr>
                <w:sz w:val="24"/>
                <w:szCs w:val="24"/>
              </w:rPr>
              <w:t>0</w:t>
            </w:r>
            <w:r>
              <w:rPr>
                <w:rFonts w:hint="eastAsia"/>
                <w:sz w:val="24"/>
                <w:szCs w:val="24"/>
              </w:rPr>
              <w:t>0-17:</w:t>
            </w:r>
            <w:r>
              <w:rPr>
                <w:sz w:val="24"/>
                <w:szCs w:val="24"/>
              </w:rPr>
              <w:t>00</w:t>
            </w:r>
          </w:p>
        </w:tc>
        <w:tc>
          <w:tcPr>
            <w:tcW w:w="5649" w:type="dxa"/>
            <w:vAlign w:val="center"/>
          </w:tcPr>
          <w:p>
            <w:pPr>
              <w:pStyle w:val="15"/>
              <w:rPr>
                <w:sz w:val="24"/>
                <w:szCs w:val="24"/>
              </w:rPr>
            </w:pPr>
            <w:r>
              <w:rPr>
                <w:rFonts w:hint="eastAsia"/>
                <w:sz w:val="24"/>
                <w:szCs w:val="24"/>
              </w:rPr>
              <w:t>第二模块第一轮竞赛测评</w:t>
            </w:r>
          </w:p>
          <w:p>
            <w:pPr>
              <w:pStyle w:val="15"/>
              <w:rPr>
                <w:sz w:val="24"/>
                <w:szCs w:val="24"/>
              </w:rPr>
            </w:pPr>
            <w:r>
              <w:rPr>
                <w:rFonts w:hint="eastAsia"/>
                <w:sz w:val="24"/>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w:t>
            </w:r>
            <w:r>
              <w:rPr>
                <w:sz w:val="24"/>
                <w:szCs w:val="24"/>
              </w:rPr>
              <w:t>7</w:t>
            </w:r>
            <w:r>
              <w:rPr>
                <w:rFonts w:hint="eastAsia"/>
                <w:sz w:val="24"/>
                <w:szCs w:val="24"/>
              </w:rPr>
              <w:t>:</w:t>
            </w:r>
            <w:r>
              <w:rPr>
                <w:sz w:val="24"/>
                <w:szCs w:val="24"/>
              </w:rPr>
              <w:t>0</w:t>
            </w:r>
            <w:r>
              <w:rPr>
                <w:rFonts w:hint="eastAsia"/>
                <w:sz w:val="24"/>
                <w:szCs w:val="24"/>
              </w:rPr>
              <w:t>0-17:</w:t>
            </w:r>
            <w:r>
              <w:rPr>
                <w:sz w:val="24"/>
                <w:szCs w:val="24"/>
              </w:rPr>
              <w:t>30</w:t>
            </w:r>
          </w:p>
        </w:tc>
        <w:tc>
          <w:tcPr>
            <w:tcW w:w="5649" w:type="dxa"/>
            <w:vAlign w:val="center"/>
          </w:tcPr>
          <w:p>
            <w:pPr>
              <w:pStyle w:val="15"/>
              <w:rPr>
                <w:sz w:val="24"/>
                <w:szCs w:val="24"/>
              </w:rPr>
            </w:pPr>
            <w:r>
              <w:rPr>
                <w:rFonts w:hint="eastAsia"/>
                <w:sz w:val="24"/>
                <w:szCs w:val="24"/>
              </w:rPr>
              <w:t>程序调整优化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17:</w:t>
            </w:r>
            <w:r>
              <w:rPr>
                <w:sz w:val="24"/>
                <w:szCs w:val="24"/>
              </w:rPr>
              <w:t>30-18:30</w:t>
            </w:r>
          </w:p>
        </w:tc>
        <w:tc>
          <w:tcPr>
            <w:tcW w:w="5649" w:type="dxa"/>
            <w:vAlign w:val="center"/>
          </w:tcPr>
          <w:p>
            <w:pPr>
              <w:pStyle w:val="15"/>
              <w:rPr>
                <w:sz w:val="24"/>
                <w:szCs w:val="24"/>
              </w:rPr>
            </w:pPr>
            <w:r>
              <w:rPr>
                <w:rFonts w:hint="eastAsia"/>
                <w:sz w:val="24"/>
                <w:szCs w:val="24"/>
              </w:rPr>
              <w:t>第二模块第二轮竞赛测评</w:t>
            </w:r>
          </w:p>
          <w:p>
            <w:pPr>
              <w:pStyle w:val="15"/>
              <w:rPr>
                <w:sz w:val="24"/>
                <w:szCs w:val="24"/>
              </w:rPr>
            </w:pPr>
            <w:r>
              <w:rPr>
                <w:rFonts w:hint="eastAsia"/>
                <w:sz w:val="24"/>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18:</w:t>
            </w:r>
            <w:r>
              <w:rPr>
                <w:sz w:val="24"/>
                <w:szCs w:val="24"/>
              </w:rPr>
              <w:t>30</w:t>
            </w:r>
          </w:p>
        </w:tc>
        <w:tc>
          <w:tcPr>
            <w:tcW w:w="5649" w:type="dxa"/>
            <w:vAlign w:val="center"/>
          </w:tcPr>
          <w:p>
            <w:pPr>
              <w:pStyle w:val="15"/>
              <w:rPr>
                <w:sz w:val="24"/>
                <w:szCs w:val="24"/>
              </w:rPr>
            </w:pPr>
            <w:r>
              <w:rPr>
                <w:rFonts w:hint="eastAsia"/>
                <w:sz w:val="24"/>
                <w:szCs w:val="24"/>
              </w:rPr>
              <w:t>竞赛结束，选手离场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sz w:val="24"/>
                <w:szCs w:val="24"/>
              </w:rPr>
              <w:t>18</w:t>
            </w:r>
            <w:r>
              <w:rPr>
                <w:rFonts w:hint="eastAsia"/>
                <w:sz w:val="24"/>
                <w:szCs w:val="24"/>
              </w:rPr>
              <w:t>:30</w:t>
            </w:r>
            <w:r>
              <w:rPr>
                <w:sz w:val="24"/>
                <w:szCs w:val="24"/>
              </w:rPr>
              <w:t>-20</w:t>
            </w:r>
            <w:r>
              <w:rPr>
                <w:rFonts w:hint="eastAsia"/>
                <w:sz w:val="24"/>
                <w:szCs w:val="24"/>
              </w:rPr>
              <w:t>:30</w:t>
            </w:r>
          </w:p>
        </w:tc>
        <w:tc>
          <w:tcPr>
            <w:tcW w:w="5649" w:type="dxa"/>
            <w:vAlign w:val="center"/>
          </w:tcPr>
          <w:p>
            <w:pPr>
              <w:pStyle w:val="15"/>
              <w:rPr>
                <w:sz w:val="24"/>
                <w:szCs w:val="24"/>
              </w:rPr>
            </w:pPr>
            <w:r>
              <w:rPr>
                <w:rFonts w:hint="eastAsia"/>
                <w:sz w:val="24"/>
                <w:szCs w:val="24"/>
              </w:rPr>
              <w:t>申诉受理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sz w:val="24"/>
                <w:szCs w:val="24"/>
              </w:rPr>
              <w:t>18</w:t>
            </w:r>
            <w:r>
              <w:rPr>
                <w:rFonts w:hint="eastAsia"/>
                <w:sz w:val="24"/>
                <w:szCs w:val="24"/>
              </w:rPr>
              <w:t>:3</w:t>
            </w:r>
            <w:r>
              <w:rPr>
                <w:sz w:val="24"/>
                <w:szCs w:val="24"/>
              </w:rPr>
              <w:t>0-19</w:t>
            </w:r>
            <w:r>
              <w:rPr>
                <w:rFonts w:hint="eastAsia"/>
                <w:sz w:val="24"/>
                <w:szCs w:val="24"/>
              </w:rPr>
              <w:t>:3</w:t>
            </w:r>
            <w:r>
              <w:rPr>
                <w:sz w:val="24"/>
                <w:szCs w:val="24"/>
              </w:rPr>
              <w:t>0</w:t>
            </w:r>
          </w:p>
        </w:tc>
        <w:tc>
          <w:tcPr>
            <w:tcW w:w="5649" w:type="dxa"/>
            <w:vAlign w:val="center"/>
          </w:tcPr>
          <w:p>
            <w:pPr>
              <w:pStyle w:val="15"/>
              <w:rPr>
                <w:sz w:val="24"/>
                <w:szCs w:val="24"/>
              </w:rPr>
            </w:pPr>
            <w:r>
              <w:rPr>
                <w:rFonts w:hint="eastAsia"/>
                <w:sz w:val="24"/>
                <w:szCs w:val="24"/>
              </w:rPr>
              <w:t>各竞赛模块分数汇总与成绩核定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w:t>
            </w:r>
            <w:r>
              <w:rPr>
                <w:sz w:val="24"/>
                <w:szCs w:val="24"/>
              </w:rPr>
              <w:t>9:30-20:00</w:t>
            </w:r>
          </w:p>
        </w:tc>
        <w:tc>
          <w:tcPr>
            <w:tcW w:w="5649" w:type="dxa"/>
            <w:vAlign w:val="center"/>
          </w:tcPr>
          <w:p>
            <w:pPr>
              <w:pStyle w:val="15"/>
              <w:rPr>
                <w:sz w:val="24"/>
                <w:szCs w:val="24"/>
              </w:rPr>
            </w:pPr>
            <w:r>
              <w:rPr>
                <w:rFonts w:hint="eastAsia"/>
                <w:sz w:val="24"/>
                <w:szCs w:val="24"/>
              </w:rPr>
              <w:t>成绩解密，公布成绩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pStyle w:val="15"/>
              <w:rPr>
                <w:rFonts w:hint="eastAsia" w:eastAsia="仿宋_GB2312"/>
                <w:b/>
                <w:bCs/>
                <w:sz w:val="28"/>
                <w:szCs w:val="28"/>
                <w:lang w:val="en-US" w:eastAsia="zh-CN"/>
              </w:rPr>
            </w:pPr>
            <w:r>
              <w:rPr>
                <w:rFonts w:hint="eastAsia"/>
                <w:b/>
                <w:bCs/>
                <w:sz w:val="28"/>
                <w:szCs w:val="28"/>
                <w:lang w:val="en-US" w:eastAsia="zh-CN"/>
              </w:rPr>
              <w:t>备注</w:t>
            </w:r>
          </w:p>
        </w:tc>
        <w:tc>
          <w:tcPr>
            <w:tcW w:w="7562" w:type="dxa"/>
            <w:gridSpan w:val="2"/>
            <w:vAlign w:val="center"/>
          </w:tcPr>
          <w:p>
            <w:pPr>
              <w:pStyle w:val="15"/>
              <w:rPr>
                <w:rFonts w:hint="eastAsia"/>
                <w:b/>
                <w:bCs/>
                <w:sz w:val="28"/>
                <w:szCs w:val="28"/>
              </w:rPr>
            </w:pPr>
            <w:r>
              <w:rPr>
                <w:rFonts w:hint="eastAsia" w:ascii="仿宋_GB2312" w:hAnsi="仿宋" w:eastAsia="仿宋_GB2312"/>
                <w:b/>
                <w:bCs/>
                <w:sz w:val="28"/>
                <w:szCs w:val="28"/>
                <w:lang w:val="en-US" w:eastAsia="zh-CN"/>
              </w:rPr>
              <w:t>如报名参赛队数量过多，将适当调整比赛时间</w:t>
            </w:r>
          </w:p>
        </w:tc>
      </w:tr>
    </w:tbl>
    <w:p>
      <w:pPr>
        <w:pageBreakBefore w:val="0"/>
        <w:widowControl w:val="0"/>
        <w:numPr>
          <w:ilvl w:val="0"/>
          <w:numId w:val="1"/>
        </w:numPr>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lang w:val="en-US" w:eastAsia="zh-CN"/>
        </w:rPr>
        <w:t>12月15日</w:t>
      </w:r>
      <w:r>
        <w:rPr>
          <w:rFonts w:hint="eastAsia"/>
          <w:sz w:val="30"/>
          <w:szCs w:val="30"/>
        </w:rPr>
        <w:t>1</w:t>
      </w:r>
      <w:r>
        <w:rPr>
          <w:rFonts w:hint="eastAsia"/>
          <w:sz w:val="30"/>
          <w:szCs w:val="30"/>
          <w:lang w:val="en-US" w:eastAsia="zh-CN"/>
        </w:rPr>
        <w:t>5</w:t>
      </w:r>
      <w:r>
        <w:rPr>
          <w:rFonts w:hint="eastAsia"/>
          <w:sz w:val="30"/>
          <w:szCs w:val="30"/>
        </w:rPr>
        <w:t>:</w:t>
      </w:r>
      <w:r>
        <w:rPr>
          <w:rFonts w:hint="eastAsia"/>
          <w:sz w:val="30"/>
          <w:szCs w:val="30"/>
          <w:lang w:val="en-US" w:eastAsia="zh-CN"/>
        </w:rPr>
        <w:t>0</w:t>
      </w:r>
      <w:r>
        <w:rPr>
          <w:rFonts w:hint="eastAsia"/>
          <w:sz w:val="30"/>
          <w:szCs w:val="30"/>
        </w:rPr>
        <w:t>0-15:</w:t>
      </w:r>
      <w:r>
        <w:rPr>
          <w:rFonts w:hint="eastAsia"/>
          <w:sz w:val="30"/>
          <w:szCs w:val="30"/>
          <w:lang w:val="en-US" w:eastAsia="zh-CN"/>
        </w:rPr>
        <w:t>3</w:t>
      </w:r>
      <w:r>
        <w:rPr>
          <w:rFonts w:hint="eastAsia"/>
          <w:sz w:val="30"/>
          <w:szCs w:val="30"/>
        </w:rPr>
        <w:t>0在赛场指定地点召开领队、指导教师说明会并抽取检录顺序号，15:</w:t>
      </w:r>
      <w:r>
        <w:rPr>
          <w:rFonts w:hint="eastAsia"/>
          <w:sz w:val="30"/>
          <w:szCs w:val="30"/>
          <w:lang w:val="en-US" w:eastAsia="zh-CN"/>
        </w:rPr>
        <w:t>3</w:t>
      </w:r>
      <w:r>
        <w:rPr>
          <w:sz w:val="30"/>
          <w:szCs w:val="30"/>
        </w:rPr>
        <w:t>0</w:t>
      </w:r>
      <w:r>
        <w:rPr>
          <w:rFonts w:hint="eastAsia"/>
          <w:sz w:val="30"/>
          <w:szCs w:val="30"/>
        </w:rPr>
        <w:t>-1</w:t>
      </w:r>
      <w:r>
        <w:rPr>
          <w:sz w:val="30"/>
          <w:szCs w:val="30"/>
        </w:rPr>
        <w:t>6</w:t>
      </w:r>
      <w:r>
        <w:rPr>
          <w:rFonts w:hint="eastAsia"/>
          <w:sz w:val="30"/>
          <w:szCs w:val="30"/>
        </w:rPr>
        <w:t>:</w:t>
      </w:r>
      <w:r>
        <w:rPr>
          <w:rFonts w:hint="eastAsia"/>
          <w:sz w:val="30"/>
          <w:szCs w:val="30"/>
          <w:lang w:val="en-US" w:eastAsia="zh-CN"/>
        </w:rPr>
        <w:t>0</w:t>
      </w:r>
      <w:r>
        <w:rPr>
          <w:rFonts w:hint="eastAsia"/>
          <w:sz w:val="30"/>
          <w:szCs w:val="30"/>
        </w:rPr>
        <w:t>0参赛选手熟悉赛场环境。</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2. 竞赛时长共计</w:t>
      </w:r>
      <w:r>
        <w:rPr>
          <w:rFonts w:hint="eastAsia"/>
          <w:sz w:val="30"/>
          <w:szCs w:val="30"/>
          <w:lang w:val="en-US" w:eastAsia="zh-CN"/>
        </w:rPr>
        <w:t>10.5</w:t>
      </w:r>
      <w:r>
        <w:rPr>
          <w:rFonts w:hint="eastAsia"/>
          <w:sz w:val="30"/>
          <w:szCs w:val="30"/>
        </w:rPr>
        <w:t>个小时（含用餐及各模块测评时间），第一模块用时2.5小时，参赛队需要完成嵌入式系统硬件制作与驱动开发任务，选手可以在元器件分拣与测试、功能电路板焊接与调试、嵌入式功能验证程序开发等方面进行任务分工；</w:t>
      </w:r>
      <w:r>
        <w:rPr>
          <w:rFonts w:hint="eastAsia"/>
          <w:sz w:val="30"/>
          <w:szCs w:val="30"/>
          <w:lang w:val="en-US" w:eastAsia="zh-CN"/>
        </w:rPr>
        <w:t>第一模块竞赛测评用时1.5个小时（实际用时可根据比赛现场作出调整）；</w:t>
      </w:r>
      <w:r>
        <w:rPr>
          <w:rFonts w:hint="eastAsia"/>
          <w:sz w:val="30"/>
          <w:szCs w:val="30"/>
        </w:rPr>
        <w:t>第二模块用时</w:t>
      </w:r>
      <w:r>
        <w:rPr>
          <w:sz w:val="30"/>
          <w:szCs w:val="30"/>
        </w:rPr>
        <w:t>4.5</w:t>
      </w:r>
      <w:r>
        <w:rPr>
          <w:rFonts w:hint="eastAsia"/>
          <w:sz w:val="30"/>
          <w:szCs w:val="30"/>
        </w:rPr>
        <w:t>小时，参赛队需要完成嵌入式应用程序开发及嵌入式边缘计算应用开发任务，选手需要在嵌入式微控制器应用程序开发、开源硬件应用程序开发与智能视觉摄像头应用开发、嵌入式移动终端应用程序开发、信息编解码应用程序开发、边缘计算应用程序开发等方面进行分工合作共同完成任务</w:t>
      </w:r>
      <w:r>
        <w:rPr>
          <w:rFonts w:hint="eastAsia"/>
          <w:sz w:val="30"/>
          <w:szCs w:val="30"/>
          <w:lang w:eastAsia="zh-CN"/>
        </w:rPr>
        <w:t>；</w:t>
      </w:r>
      <w:r>
        <w:rPr>
          <w:rFonts w:hint="eastAsia"/>
          <w:sz w:val="30"/>
          <w:szCs w:val="30"/>
          <w:lang w:val="en-US" w:eastAsia="zh-CN"/>
        </w:rPr>
        <w:t>第二模块竞赛测评用时2个小时（包括两轮测试，实际用时可根据比赛现场作出调整）</w:t>
      </w:r>
      <w:r>
        <w:rPr>
          <w:rFonts w:hint="eastAsia"/>
          <w:sz w:val="30"/>
          <w:szCs w:val="30"/>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default" w:eastAsia="仿宋_GB2312"/>
          <w:sz w:val="30"/>
          <w:szCs w:val="30"/>
          <w:lang w:val="en-US" w:eastAsia="zh-CN"/>
        </w:rPr>
      </w:pPr>
      <w:r>
        <w:rPr>
          <w:rFonts w:hint="eastAsia"/>
          <w:sz w:val="30"/>
          <w:szCs w:val="30"/>
        </w:rPr>
        <w:t xml:space="preserve">3. </w:t>
      </w:r>
      <w:r>
        <w:rPr>
          <w:rFonts w:hint="eastAsia"/>
          <w:sz w:val="30"/>
          <w:szCs w:val="30"/>
          <w:lang w:val="en-US" w:eastAsia="zh-CN"/>
        </w:rPr>
        <w:t>12月16日竞赛安排</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参赛队在上午7:00前到达竞赛指定检录地点，依据赛前抽取的检录顺序号有序排队等候检录；7:00-7:20接受检录进行自带设备工具检查与一次加密，并按规定抽取参赛号；7:20-7:40参赛队队长凭借参赛号到指定地点进行二次加密并抽取工位号，并进入对应工位就坐。</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2）7:40-7:50参赛队检查自己工位上</w:t>
      </w:r>
      <w:r>
        <w:rPr>
          <w:rFonts w:hint="eastAsia"/>
          <w:color w:val="auto"/>
          <w:sz w:val="30"/>
          <w:szCs w:val="30"/>
        </w:rPr>
        <w:t>由大赛执委会提供的</w:t>
      </w:r>
      <w:r>
        <w:rPr>
          <w:rFonts w:hint="eastAsia"/>
          <w:color w:val="auto"/>
          <w:sz w:val="30"/>
          <w:szCs w:val="30"/>
          <w:lang w:val="en-US" w:eastAsia="zh-CN"/>
        </w:rPr>
        <w:t>220V电源及相关</w:t>
      </w:r>
      <w:r>
        <w:rPr>
          <w:rFonts w:hint="eastAsia"/>
          <w:color w:val="auto"/>
          <w:sz w:val="30"/>
          <w:szCs w:val="30"/>
        </w:rPr>
        <w:t>仪器设备是否正常并签字确认。</w:t>
      </w:r>
      <w:r>
        <w:rPr>
          <w:rFonts w:hint="eastAsia"/>
          <w:sz w:val="30"/>
          <w:szCs w:val="30"/>
        </w:rPr>
        <w:t>7:50-7:55由裁判长讲解竞赛注意事项，7:55-8:00发放第一模块竞赛赛题和功能电路板焊接套件，参赛队队长在领取确认表上确认签字，8:00由裁判长宣布正式竞赛，选手方可拆封第一模块赛题和检查元器件。</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3）第一模块竞赛阶段：嵌入式系统硬件制作与驱动开发（2.5小时）</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8:00-10:30期间，参赛队队长确认已领元器件无缺件、无损坏后，在元器件确认表上签字，若焊接套件内元器件数量和型号与竞赛试题中提供的参数不符，选手应在8:30之前提出申请，超过规定时间更换或补领按评分标准扣分，更换或补领同一型号器件不得超过焊接套件中标准用量。10:</w:t>
      </w:r>
      <w:r>
        <w:rPr>
          <w:sz w:val="30"/>
          <w:szCs w:val="30"/>
        </w:rPr>
        <w:t>30</w:t>
      </w:r>
      <w:r>
        <w:rPr>
          <w:rFonts w:hint="eastAsia"/>
          <w:sz w:val="30"/>
          <w:szCs w:val="30"/>
        </w:rPr>
        <w:t>后参赛选手须停止操作，等候裁判指令进行功能电路测评与焊接工艺评分。功能电路测评过程允许选手申请使用（限一次）完好功能电路板进行软件程序功能验证，但要根据</w:t>
      </w:r>
      <w:r>
        <w:rPr>
          <w:sz w:val="30"/>
          <w:szCs w:val="30"/>
        </w:rPr>
        <w:fldChar w:fldCharType="begin"/>
      </w:r>
      <w:r>
        <w:rPr>
          <w:sz w:val="30"/>
          <w:szCs w:val="30"/>
        </w:rPr>
        <w:instrText xml:space="preserve"> REF 表7 \h  \* MERGEFORMAT </w:instrText>
      </w:r>
      <w:r>
        <w:rPr>
          <w:sz w:val="30"/>
          <w:szCs w:val="30"/>
        </w:rPr>
        <w:fldChar w:fldCharType="separate"/>
      </w:r>
      <w:r>
        <w:rPr>
          <w:rFonts w:hint="eastAsia"/>
          <w:sz w:val="30"/>
          <w:szCs w:val="30"/>
        </w:rPr>
        <w:t>表</w:t>
      </w:r>
      <w:r>
        <w:rPr>
          <w:sz w:val="30"/>
          <w:szCs w:val="30"/>
        </w:rPr>
        <w:t xml:space="preserve">7 </w:t>
      </w:r>
      <w:r>
        <w:rPr>
          <w:sz w:val="30"/>
          <w:szCs w:val="30"/>
        </w:rPr>
        <w:fldChar w:fldCharType="end"/>
      </w:r>
      <w:r>
        <w:rPr>
          <w:rFonts w:hint="eastAsia"/>
          <w:sz w:val="30"/>
          <w:szCs w:val="30"/>
        </w:rPr>
        <w:t>评分标准做相应扣分处理。</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4）第二模块竞赛阶段：嵌入式应用程序开发</w:t>
      </w:r>
      <w:r>
        <w:rPr>
          <w:rFonts w:hint="eastAsia"/>
          <w:sz w:val="30"/>
          <w:szCs w:val="30"/>
          <w:lang w:val="en-US" w:eastAsia="zh-CN"/>
        </w:rPr>
        <w:t>及</w:t>
      </w:r>
      <w:r>
        <w:rPr>
          <w:rFonts w:hint="eastAsia"/>
          <w:sz w:val="30"/>
          <w:szCs w:val="30"/>
        </w:rPr>
        <w:t>嵌入式边缘计算应用开发（4.5小时）</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12:00-16:00期间，参赛选手需要根据下发的本模块赛题进行嵌入式边缘计算应用程序开发，完成相应赛道任务功能。每组练习赛道按照参赛队数量平均分配，1</w:t>
      </w:r>
      <w:r>
        <w:rPr>
          <w:sz w:val="30"/>
          <w:szCs w:val="30"/>
        </w:rPr>
        <w:t>2:30</w:t>
      </w:r>
      <w:r>
        <w:rPr>
          <w:rFonts w:hint="eastAsia"/>
          <w:sz w:val="30"/>
          <w:szCs w:val="30"/>
        </w:rPr>
        <w:t>后参赛队按规定的时间进入练习赛道进行赛道任务测试，每次五分钟，过时不补，须等待下一次测试机会。16:</w:t>
      </w:r>
      <w:r>
        <w:rPr>
          <w:sz w:val="30"/>
          <w:szCs w:val="30"/>
        </w:rPr>
        <w:t>00-17:00</w:t>
      </w:r>
      <w:r>
        <w:rPr>
          <w:rFonts w:hint="eastAsia"/>
          <w:sz w:val="30"/>
          <w:szCs w:val="30"/>
        </w:rPr>
        <w:t>期间完成本模块第一轮竞赛测评。</w:t>
      </w:r>
      <w:r>
        <w:rPr>
          <w:rFonts w:hint="eastAsia" w:hAnsi="仿宋_GB2312" w:cs="仿宋_GB2312"/>
          <w:bCs/>
          <w:color w:val="000000"/>
          <w:sz w:val="30"/>
          <w:szCs w:val="30"/>
        </w:rPr>
        <w:t>参赛队在完成第一轮竞赛竞赛测评后，还有0.5小时用于调整优化程序。17</w:t>
      </w:r>
      <w:r>
        <w:rPr>
          <w:rFonts w:hAnsi="仿宋_GB2312" w:cs="仿宋_GB2312"/>
          <w:bCs/>
          <w:color w:val="000000"/>
          <w:sz w:val="30"/>
          <w:szCs w:val="30"/>
        </w:rPr>
        <w:t>:30-18:30</w:t>
      </w:r>
      <w:r>
        <w:rPr>
          <w:rFonts w:hint="eastAsia" w:hAnsi="仿宋_GB2312" w:cs="仿宋_GB2312"/>
          <w:bCs/>
          <w:color w:val="000000"/>
          <w:sz w:val="30"/>
          <w:szCs w:val="30"/>
        </w:rPr>
        <w:t>期间完成本模块第二轮竞赛测评。</w:t>
      </w:r>
      <w:r>
        <w:rPr>
          <w:rFonts w:hint="eastAsia"/>
          <w:sz w:val="30"/>
          <w:szCs w:val="30"/>
        </w:rPr>
        <w:t>竞赛练习过程中允许参赛选手申请更换竞赛平台（限一次），根据</w:t>
      </w:r>
      <w:r>
        <w:rPr>
          <w:sz w:val="30"/>
          <w:szCs w:val="30"/>
        </w:rPr>
        <w:fldChar w:fldCharType="begin"/>
      </w:r>
      <w:r>
        <w:rPr>
          <w:sz w:val="30"/>
          <w:szCs w:val="30"/>
        </w:rPr>
        <w:instrText xml:space="preserve"> </w:instrText>
      </w:r>
      <w:r>
        <w:rPr>
          <w:rFonts w:hint="eastAsia"/>
          <w:sz w:val="30"/>
          <w:szCs w:val="30"/>
        </w:rPr>
        <w:instrText xml:space="preserve">REF 表7 \h</w:instrText>
      </w:r>
      <w:r>
        <w:rPr>
          <w:sz w:val="30"/>
          <w:szCs w:val="30"/>
        </w:rPr>
        <w:instrText xml:space="preserve">  \* MERGEFORMAT </w:instrText>
      </w:r>
      <w:r>
        <w:rPr>
          <w:sz w:val="30"/>
          <w:szCs w:val="30"/>
        </w:rPr>
        <w:fldChar w:fldCharType="separate"/>
      </w:r>
      <w:r>
        <w:rPr>
          <w:rFonts w:hint="eastAsia"/>
          <w:sz w:val="30"/>
          <w:szCs w:val="30"/>
        </w:rPr>
        <w:t>表</w:t>
      </w:r>
      <w:r>
        <w:rPr>
          <w:sz w:val="30"/>
          <w:szCs w:val="30"/>
        </w:rPr>
        <w:t xml:space="preserve">7 </w:t>
      </w:r>
      <w:r>
        <w:rPr>
          <w:sz w:val="30"/>
          <w:szCs w:val="30"/>
        </w:rPr>
        <w:fldChar w:fldCharType="end"/>
      </w:r>
      <w:r>
        <w:rPr>
          <w:rFonts w:hint="eastAsia"/>
          <w:sz w:val="30"/>
          <w:szCs w:val="30"/>
        </w:rPr>
        <w:t>评分标准做相应扣分处理。</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在所有参赛队完成本模块第二轮竞赛测评后，各参赛队收拾整理工位与个人物品，在裁判发出撤场指令之后，有序离开赛场。</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六</w:t>
      </w:r>
      <w:r>
        <w:rPr>
          <w:rFonts w:hint="eastAsia"/>
        </w:rPr>
        <w:t>、竞赛内容</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（一）竞赛内容</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本赛项采用实操形式考察学生的嵌入式技术应用能力。赛项分为嵌入式系统硬件制作与驱动开发和嵌入式应用程序开发</w:t>
      </w:r>
      <w:r>
        <w:rPr>
          <w:rFonts w:hint="eastAsia"/>
          <w:sz w:val="30"/>
          <w:szCs w:val="30"/>
          <w:lang w:val="en-US" w:eastAsia="zh-CN"/>
        </w:rPr>
        <w:t>及</w:t>
      </w:r>
      <w:r>
        <w:rPr>
          <w:rFonts w:hint="eastAsia"/>
          <w:sz w:val="30"/>
          <w:szCs w:val="30"/>
        </w:rPr>
        <w:t>嵌入式边缘计算应用开发两个模块。第一模块要求参赛选手在规定时间内焊接、调试一套竞赛现场下发的功能电路板，并完成嵌入式系统硬件制作与驱动开发任务，使之能实现相应功能。第二模块要求选手在规定时间内根据现场下发的竞赛赛题，进行嵌入式应用程序的编写和嵌入式边缘计算应用程序开发，使之能够自动控制竞赛平台完成相应赛道任务。</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赛项涵盖的知识点有：嵌入式微控制器编程技术、Android应用开发技术、开源硬件编程技术、二维码采集与识别技术、图像处理技术、网络通信技术、现场总线技术、RFID技术、无线传感技术、数据采集与处理技术、机器视觉技术、红外通信技术、语音控制技术、嵌入式人工智能与边缘计算技术等。</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赛项涵盖的技能点有：电路板的焊接、调试、排障、安装，嵌入式微处理器控制程序编写与调试，开源硬件程序编写与调试，Android应用开发、嵌入式应用程序开发</w:t>
      </w:r>
      <w:r>
        <w:rPr>
          <w:rFonts w:hint="eastAsia"/>
          <w:sz w:val="30"/>
          <w:szCs w:val="30"/>
          <w:lang w:eastAsia="zh-CN"/>
        </w:rPr>
        <w:t>、</w:t>
      </w:r>
      <w:r>
        <w:rPr>
          <w:rFonts w:hint="eastAsia"/>
          <w:sz w:val="30"/>
          <w:szCs w:val="30"/>
        </w:rPr>
        <w:t>嵌入式边缘计算应用开发以及系统集成应用技能。</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选手的创新、创意可以在图像处理算法、多任务程序设计与优化、通信安全与稳定性、信道传输效率、加密算法优化、电机动态控制算法优化、产品装配流程工艺、数据采集算法优化等技术领域得到发挥。</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（二）竞赛时间</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竞赛时长共计</w:t>
      </w:r>
      <w:r>
        <w:rPr>
          <w:rFonts w:hint="eastAsia"/>
          <w:sz w:val="30"/>
          <w:szCs w:val="30"/>
          <w:lang w:val="en-US" w:eastAsia="zh-CN"/>
        </w:rPr>
        <w:t>10.5</w:t>
      </w:r>
      <w:r>
        <w:rPr>
          <w:rFonts w:hint="eastAsia"/>
          <w:sz w:val="30"/>
          <w:szCs w:val="30"/>
        </w:rPr>
        <w:t>个小时（含用餐及各模块测评时间），第一模块用时2.5小时，参赛队需要完成嵌入式系统硬件制作与驱动开发任务，选手可以在元器件分拣与测试、功能电路板焊接与调试、嵌入式功能验证程序开发等方面进行任务分工；</w:t>
      </w:r>
      <w:r>
        <w:rPr>
          <w:rFonts w:hint="eastAsia"/>
          <w:sz w:val="30"/>
          <w:szCs w:val="30"/>
          <w:lang w:val="en-US" w:eastAsia="zh-CN"/>
        </w:rPr>
        <w:t>第一模块竞赛测评用时1.5个小时（实际用时可根据比赛现场作出调整）；</w:t>
      </w:r>
      <w:r>
        <w:rPr>
          <w:rFonts w:hint="eastAsia"/>
          <w:sz w:val="30"/>
          <w:szCs w:val="30"/>
        </w:rPr>
        <w:t>第二模块用时</w:t>
      </w:r>
      <w:r>
        <w:rPr>
          <w:sz w:val="30"/>
          <w:szCs w:val="30"/>
        </w:rPr>
        <w:t>4.5</w:t>
      </w:r>
      <w:r>
        <w:rPr>
          <w:rFonts w:hint="eastAsia"/>
          <w:sz w:val="30"/>
          <w:szCs w:val="30"/>
        </w:rPr>
        <w:t>小时，参赛队需要完成嵌入式应用程序开发及嵌入式边缘计算应用开发任务，选手需要在嵌入式微控制器应用程序开发、开源硬件应用程序开发与智能视觉摄像头应用开发、嵌入式移动终端应用程序开发、信息编解码应用程序开发、边缘计算应用程序开发等方面进行分工合作共同完成任务</w:t>
      </w:r>
      <w:r>
        <w:rPr>
          <w:rFonts w:hint="eastAsia"/>
          <w:sz w:val="30"/>
          <w:szCs w:val="30"/>
          <w:lang w:eastAsia="zh-CN"/>
        </w:rPr>
        <w:t>；</w:t>
      </w:r>
      <w:r>
        <w:rPr>
          <w:rFonts w:hint="eastAsia"/>
          <w:sz w:val="30"/>
          <w:szCs w:val="30"/>
          <w:lang w:val="en-US" w:eastAsia="zh-CN"/>
        </w:rPr>
        <w:t>第二模块竞赛测评用时2个小时（包括两轮测试，实际用时可根据比赛现场作出调整）</w:t>
      </w:r>
      <w:r>
        <w:rPr>
          <w:rFonts w:hint="eastAsia"/>
          <w:sz w:val="30"/>
          <w:szCs w:val="30"/>
        </w:rPr>
        <w:t>。</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（三）成绩比例</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本赛项考核包含安全操作规范、嵌入式系统硬件制作与驱动开发、嵌入式应用程序开发和嵌入式边缘计算应用开发四部分成绩，成绩比例如下：</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 安全操作规范，成绩比例为5%；</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sz w:val="30"/>
          <w:szCs w:val="30"/>
        </w:rPr>
        <w:t>2. 嵌入式系统硬件</w:t>
      </w:r>
      <w:r>
        <w:rPr>
          <w:rFonts w:hint="eastAsia"/>
          <w:color w:val="auto"/>
          <w:sz w:val="30"/>
          <w:szCs w:val="30"/>
        </w:rPr>
        <w:t>制作与驱动开发，成绩比例为</w:t>
      </w:r>
      <w:r>
        <w:rPr>
          <w:rFonts w:hint="eastAsia"/>
          <w:color w:val="auto"/>
          <w:sz w:val="30"/>
          <w:szCs w:val="30"/>
          <w:lang w:val="en-US" w:eastAsia="zh-CN"/>
        </w:rPr>
        <w:t>40</w:t>
      </w:r>
      <w:r>
        <w:rPr>
          <w:rFonts w:hint="eastAsia"/>
          <w:color w:val="auto"/>
          <w:sz w:val="30"/>
          <w:szCs w:val="30"/>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30"/>
          <w:szCs w:val="30"/>
          <w:highlight w:val="none"/>
          <w:lang w:val="en-US"/>
        </w:rPr>
      </w:pPr>
      <w:r>
        <w:rPr>
          <w:rFonts w:hint="eastAsia"/>
          <w:color w:val="auto"/>
          <w:sz w:val="30"/>
          <w:szCs w:val="30"/>
        </w:rPr>
        <w:t>3.</w:t>
      </w:r>
      <w:r>
        <w:rPr>
          <w:color w:val="auto"/>
          <w:sz w:val="30"/>
          <w:szCs w:val="30"/>
        </w:rPr>
        <w:t xml:space="preserve"> </w:t>
      </w:r>
      <w:r>
        <w:rPr>
          <w:rFonts w:hint="eastAsia"/>
          <w:sz w:val="30"/>
          <w:szCs w:val="30"/>
        </w:rPr>
        <w:t>嵌入式应用程序开发</w:t>
      </w:r>
      <w:r>
        <w:rPr>
          <w:rFonts w:hint="eastAsia"/>
          <w:sz w:val="30"/>
          <w:szCs w:val="30"/>
          <w:lang w:val="en-US" w:eastAsia="zh-CN"/>
        </w:rPr>
        <w:t>及</w:t>
      </w:r>
      <w:r>
        <w:rPr>
          <w:rFonts w:hint="eastAsia"/>
          <w:color w:val="auto"/>
          <w:sz w:val="30"/>
          <w:szCs w:val="30"/>
        </w:rPr>
        <w:t>嵌入式边缘计算应用开发，成绩比例为</w:t>
      </w:r>
      <w:r>
        <w:rPr>
          <w:rFonts w:hint="eastAsia"/>
          <w:color w:val="auto"/>
          <w:sz w:val="30"/>
          <w:szCs w:val="30"/>
          <w:lang w:val="en-US" w:eastAsia="zh-CN"/>
        </w:rPr>
        <w:t>55</w:t>
      </w:r>
      <w:r>
        <w:rPr>
          <w:rFonts w:hint="eastAsia"/>
          <w:color w:val="auto"/>
          <w:sz w:val="30"/>
          <w:szCs w:val="30"/>
        </w:rPr>
        <w:t>%。</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七</w:t>
      </w:r>
      <w:r>
        <w:rPr>
          <w:rFonts w:hint="eastAsia"/>
        </w:rPr>
        <w:t>、竞赛方式</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lang w:val="en-US"/>
        </w:rPr>
      </w:pPr>
      <w:r>
        <w:rPr>
          <w:rFonts w:hint="eastAsia"/>
          <w:sz w:val="30"/>
          <w:szCs w:val="30"/>
          <w:lang w:val="en-US"/>
        </w:rPr>
        <w:t>(一)竞赛以团队方式进行，不计选手个人成绩，统计参赛队的总成绩并进行排序。</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lang w:val="en-US"/>
        </w:rPr>
      </w:pPr>
      <w:r>
        <w:rPr>
          <w:rFonts w:hint="eastAsia"/>
          <w:sz w:val="30"/>
          <w:szCs w:val="30"/>
          <w:lang w:val="en-US"/>
        </w:rPr>
        <w:t>(二)每支参赛队由 3 名参赛选手</w:t>
      </w:r>
      <w:r>
        <w:rPr>
          <w:rFonts w:hint="eastAsia"/>
          <w:sz w:val="30"/>
          <w:szCs w:val="30"/>
        </w:rPr>
        <w:t>（设1名队长）</w:t>
      </w:r>
      <w:r>
        <w:rPr>
          <w:rFonts w:hint="eastAsia"/>
          <w:sz w:val="30"/>
          <w:szCs w:val="30"/>
          <w:lang w:val="en-US"/>
        </w:rPr>
        <w:t>组成，3 名选手须为同校在籍学生，</w:t>
      </w:r>
      <w:r>
        <w:rPr>
          <w:rFonts w:hint="eastAsia"/>
          <w:sz w:val="30"/>
          <w:szCs w:val="30"/>
        </w:rPr>
        <w:t>不得跨校组队</w:t>
      </w:r>
      <w:r>
        <w:rPr>
          <w:rFonts w:hint="eastAsia"/>
          <w:sz w:val="30"/>
          <w:szCs w:val="30"/>
          <w:lang w:eastAsia="zh-CN"/>
        </w:rPr>
        <w:t>，</w:t>
      </w:r>
      <w:r>
        <w:rPr>
          <w:rFonts w:hint="eastAsia"/>
          <w:sz w:val="30"/>
          <w:szCs w:val="30"/>
          <w:lang w:val="en-US"/>
        </w:rPr>
        <w:t>性别和年级不限。</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lang w:val="en-US"/>
        </w:rPr>
      </w:pPr>
      <w:r>
        <w:rPr>
          <w:rFonts w:hint="eastAsia"/>
          <w:sz w:val="30"/>
          <w:szCs w:val="30"/>
          <w:lang w:val="en-US"/>
        </w:rPr>
        <w:t>(三)每支参赛队可配指导教</w:t>
      </w:r>
      <w:r>
        <w:rPr>
          <w:rFonts w:hint="eastAsia"/>
          <w:color w:val="auto"/>
          <w:sz w:val="30"/>
          <w:szCs w:val="30"/>
          <w:lang w:val="en-US"/>
        </w:rPr>
        <w:t>师</w:t>
      </w:r>
      <w:r>
        <w:rPr>
          <w:rFonts w:hint="eastAsia"/>
          <w:color w:val="auto"/>
          <w:sz w:val="30"/>
          <w:szCs w:val="30"/>
          <w:highlight w:val="none"/>
          <w:lang w:val="en-US" w:eastAsia="zh-CN"/>
        </w:rPr>
        <w:t>不超过</w:t>
      </w:r>
      <w:r>
        <w:rPr>
          <w:rFonts w:hint="eastAsia"/>
          <w:color w:val="auto"/>
          <w:sz w:val="30"/>
          <w:szCs w:val="30"/>
          <w:lang w:val="en-US"/>
        </w:rPr>
        <w:t>2</w:t>
      </w:r>
      <w:r>
        <w:rPr>
          <w:rFonts w:hint="eastAsia"/>
          <w:sz w:val="30"/>
          <w:szCs w:val="30"/>
          <w:lang w:val="en-US"/>
        </w:rPr>
        <w:t xml:space="preserve"> 名，指导教师须为本校专兼职教师。竞赛期间不允许指导教师进入赛场进行现场指导。</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lang w:val="en-US" w:eastAsia="zh-CN"/>
        </w:rPr>
      </w:pPr>
      <w:r>
        <w:rPr>
          <w:rFonts w:hint="eastAsia"/>
          <w:sz w:val="30"/>
          <w:szCs w:val="30"/>
        </w:rPr>
        <w:t>竞赛在一天内完成，参赛队的竞赛赛位号于竞赛当天采用抽签方式确定，由各参赛队队长进行抽签并确认。赛题以任务书的形式发放，参赛队根据任务书的要求完成竞赛任务。</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八</w:t>
      </w:r>
      <w:r>
        <w:rPr>
          <w:rFonts w:hint="eastAsia"/>
        </w:rPr>
        <w:t>、竞赛规则</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w:t>
      </w:r>
      <w:r>
        <w:rPr>
          <w:rFonts w:hint="eastAsia"/>
          <w:lang w:val="en-US" w:eastAsia="zh-CN"/>
        </w:rPr>
        <w:t>一</w:t>
      </w:r>
      <w:r>
        <w:rPr>
          <w:rFonts w:hint="eastAsia"/>
        </w:rPr>
        <w:t>）报名要求</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本赛项为团体赛，不允许跨校组队。各校限额推</w:t>
      </w:r>
      <w:r>
        <w:rPr>
          <w:rFonts w:hint="eastAsia"/>
          <w:color w:val="auto"/>
          <w:sz w:val="30"/>
          <w:szCs w:val="30"/>
          <w:highlight w:val="none"/>
        </w:rPr>
        <w:t>荐</w:t>
      </w:r>
      <w:r>
        <w:rPr>
          <w:rFonts w:hint="eastAsia"/>
          <w:color w:val="auto"/>
          <w:sz w:val="30"/>
          <w:szCs w:val="30"/>
          <w:highlight w:val="none"/>
          <w:lang w:val="en-US" w:eastAsia="zh-CN"/>
        </w:rPr>
        <w:t>最多2</w:t>
      </w:r>
      <w:r>
        <w:rPr>
          <w:rFonts w:hint="eastAsia"/>
          <w:color w:val="auto"/>
          <w:sz w:val="30"/>
          <w:szCs w:val="30"/>
          <w:highlight w:val="none"/>
        </w:rPr>
        <w:t>支队</w:t>
      </w:r>
      <w:r>
        <w:rPr>
          <w:rFonts w:hint="eastAsia"/>
          <w:sz w:val="30"/>
          <w:szCs w:val="30"/>
        </w:rPr>
        <w:t>伍参赛，指导教师须为本校专兼职教师，团体赛每队安排指导教师不超过2名。</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参赛选手和指导教师报名获得确认后不得随意更换。如备赛过程中参赛选手或指导教师因故无法参赛，须由学校于开赛7个工作日之前出具书面说明，并经省教育厅同意后予以更换，补充人员需满足本赛项参赛选手资格并接受审核；团体赛选手因特殊原因不能参加比赛时，则视为自动放弃竞赛；竞赛开始后，参赛队不得更换参赛选手，若有参赛队员缺席，不得补充参赛选手。</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各校</w:t>
      </w:r>
      <w:r>
        <w:rPr>
          <w:rFonts w:hint="eastAsia"/>
          <w:sz w:val="30"/>
          <w:szCs w:val="30"/>
          <w:lang w:val="en-US" w:eastAsia="zh-CN"/>
        </w:rPr>
        <w:t>做好</w:t>
      </w:r>
      <w:r>
        <w:rPr>
          <w:rFonts w:hint="eastAsia"/>
          <w:sz w:val="30"/>
          <w:szCs w:val="30"/>
        </w:rPr>
        <w:t>参赛学生的资格审查工作，并提交证明材料（上交招生审批表、选手及参赛指导教师报名表）。</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w:t>
      </w:r>
      <w:r>
        <w:rPr>
          <w:rFonts w:hint="eastAsia"/>
          <w:lang w:val="en-US" w:eastAsia="zh-CN"/>
        </w:rPr>
        <w:t>二</w:t>
      </w:r>
      <w:r>
        <w:rPr>
          <w:rFonts w:hint="eastAsia"/>
        </w:rPr>
        <w:t>）赛前准备</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1．参赛选手应在竞赛日程规定的时间熟悉竞赛场地，选手可进入竞赛场地及工位熟悉</w:t>
      </w:r>
      <w:r>
        <w:rPr>
          <w:rFonts w:hint="eastAsia"/>
          <w:sz w:val="30"/>
          <w:szCs w:val="30"/>
          <w:lang w:eastAsia="zh-CN"/>
        </w:rPr>
        <w:t>，</w:t>
      </w:r>
      <w:r>
        <w:rPr>
          <w:rFonts w:hint="eastAsia"/>
          <w:sz w:val="30"/>
          <w:szCs w:val="30"/>
          <w:lang w:val="en-US" w:eastAsia="zh-CN"/>
        </w:rPr>
        <w:t>但不允许在赛道上测试</w:t>
      </w:r>
      <w:r>
        <w:rPr>
          <w:rFonts w:hint="eastAsia"/>
          <w:sz w:val="30"/>
          <w:szCs w:val="30"/>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2．熟悉场地时严禁与现场工作人员进行交流，不发表没有根据以及有损大赛整体形象的言论。</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3.熟悉场地期间严格遵守大赛各种制度，严禁拥挤，喧哗，以免发生意外事故。</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w:t>
      </w:r>
      <w:r>
        <w:rPr>
          <w:rFonts w:hint="eastAsia"/>
          <w:lang w:val="en-US" w:eastAsia="zh-CN"/>
        </w:rPr>
        <w:t>三</w:t>
      </w:r>
      <w:r>
        <w:rPr>
          <w:rFonts w:hint="eastAsia"/>
        </w:rPr>
        <w:t>）正式竞赛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1．参赛选手在竞赛开始前到达指定地点报到，接受工作人员对选手身份、资格和有关证件的检查。开赛15分钟后停止检录，参赛选手如仍未进入赛场，按弃权处理。</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 xml:space="preserve">2．竞赛赛位通过二次加密决定，竞赛期间参赛选手不得擅自离开竞赛赛位。 </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3．竞赛所需的工具、系统软件和电脑由参赛队自备，选手不得携</w:t>
      </w:r>
      <w:r>
        <w:rPr>
          <w:rFonts w:hint="eastAsia"/>
          <w:sz w:val="30"/>
          <w:szCs w:val="30"/>
          <w:highlight w:val="none"/>
        </w:rPr>
        <w:t>带</w:t>
      </w:r>
      <w:r>
        <w:rPr>
          <w:rFonts w:hint="eastAsia"/>
          <w:color w:val="auto"/>
          <w:sz w:val="30"/>
          <w:szCs w:val="30"/>
          <w:highlight w:val="none"/>
        </w:rPr>
        <w:t>除大赛执委会选定</w:t>
      </w:r>
      <w:r>
        <w:rPr>
          <w:rFonts w:hint="eastAsia"/>
          <w:sz w:val="30"/>
          <w:szCs w:val="30"/>
          <w:highlight w:val="none"/>
        </w:rPr>
        <w:t>以</w:t>
      </w:r>
      <w:r>
        <w:rPr>
          <w:rFonts w:hint="eastAsia"/>
          <w:sz w:val="30"/>
          <w:szCs w:val="30"/>
        </w:rPr>
        <w:t>外的硬件设备及辅助工具等进入赛场。</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4．参赛队自行决定选手分工和工作安排。</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5．竞赛过程中，选手须严格遵守操作规程，确保人身及设备安全，并接受裁判员的监督和警示。若因选手因素造成设备故障或损坏，无法继续竞赛，裁判长有权决定终止该队竞赛；若非选手个人因素造成设备故障，由裁判长视具体情况做出裁决。</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6．竞赛结束后，参赛队不得再进行任何操作，并由裁判与参赛队队长共同签字确认。</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w:t>
      </w:r>
      <w:r>
        <w:rPr>
          <w:rFonts w:hint="eastAsia"/>
          <w:lang w:val="en-US" w:eastAsia="zh-CN"/>
        </w:rPr>
        <w:t>四</w:t>
      </w:r>
      <w:r>
        <w:rPr>
          <w:rFonts w:hint="eastAsia"/>
        </w:rPr>
        <w:t>）成绩公布</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1.比赛结束后由裁判组对各参赛队的竞赛任务逐项评分并进行成绩录入，经裁判长核准后上交执委会，具体评分详见评分标准和评分方式。</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2.所有有关专家和裁判将签订保密协议,严守保密纪律，不得私自透露赛题非公开部分的内容和比赛结果。</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3.比赛成绩经严格评分工作程序评定并公布。</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九</w:t>
      </w:r>
      <w:r>
        <w:rPr>
          <w:rFonts w:hint="eastAsia"/>
        </w:rPr>
        <w:t>、竞赛环境</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竞赛在室内进行，竞赛环境总面积为</w:t>
      </w:r>
      <w:r>
        <w:rPr>
          <w:sz w:val="30"/>
          <w:szCs w:val="30"/>
        </w:rPr>
        <w:t>200</w:t>
      </w:r>
      <w:r>
        <w:rPr>
          <w:rFonts w:hint="eastAsia"/>
          <w:sz w:val="30"/>
          <w:szCs w:val="30"/>
        </w:rPr>
        <w:t>㎡以上（可根据实际参赛队和实际场地分多个组别），各训练测试赛道分布于参赛队工作区附近，采取机会均等、分时复用原则使用训练测试赛道。</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（一）参赛队工作区</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每个参赛队</w:t>
      </w:r>
      <w:r>
        <w:rPr>
          <w:rFonts w:hint="eastAsia"/>
          <w:sz w:val="30"/>
          <w:szCs w:val="30"/>
          <w:lang w:val="en-US" w:eastAsia="zh-CN"/>
        </w:rPr>
        <w:t>设</w:t>
      </w:r>
      <w:r>
        <w:rPr>
          <w:rFonts w:hint="eastAsia"/>
          <w:sz w:val="30"/>
          <w:szCs w:val="30"/>
        </w:rPr>
        <w:t>工作区</w:t>
      </w:r>
      <w:r>
        <w:rPr>
          <w:rFonts w:hint="eastAsia"/>
          <w:sz w:val="30"/>
          <w:szCs w:val="30"/>
          <w:lang w:eastAsia="zh-CN"/>
        </w:rPr>
        <w:t>，</w:t>
      </w:r>
      <w:r>
        <w:rPr>
          <w:rFonts w:hint="eastAsia"/>
          <w:sz w:val="30"/>
          <w:szCs w:val="30"/>
        </w:rPr>
        <w:t>工作区间内放置有3张工作台，3把工作椅（凳），其中1张作为焊接调试操作平台使用，工作台上面摆放电子仪器仪表和电子制作工具等，工作台内提供有220V电源国标插座。</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（二）任务竞赛场地</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竞赛第二模块中竞赛任务的赛道地图规格均为：赛道地图赛道为白色，宽30cm，循迹线为黑色，宽3cm；正式竞赛专用赛道地图四周设有20cm高的围栏挡板，赛道参考图如图2所示，竞赛用图最终以实际竞赛用图为准。</w:t>
      </w:r>
    </w:p>
    <w:p>
      <w:pPr>
        <w:pStyle w:val="15"/>
      </w:pPr>
      <w:r>
        <w:t xml:space="preserve"> </w:t>
      </w:r>
      <w:r>
        <w:drawing>
          <wp:inline distT="0" distB="0" distL="114300" distR="114300">
            <wp:extent cx="3714750" cy="3701415"/>
            <wp:effectExtent l="0" t="0" r="0"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3714750" cy="3701415"/>
                    </a:xfrm>
                    <a:prstGeom prst="rect">
                      <a:avLst/>
                    </a:prstGeom>
                    <a:noFill/>
                    <a:ln>
                      <a:noFill/>
                    </a:ln>
                  </pic:spPr>
                </pic:pic>
              </a:graphicData>
            </a:graphic>
          </wp:inline>
        </w:drawing>
      </w:r>
    </w:p>
    <w:p>
      <w:pPr>
        <w:pStyle w:val="15"/>
      </w:pPr>
      <w:r>
        <w:rPr>
          <w:rFonts w:hint="eastAsia"/>
        </w:rPr>
        <w:t>图2 赛道地图参考图</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十</w:t>
      </w:r>
      <w:r>
        <w:rPr>
          <w:rFonts w:hint="eastAsia"/>
        </w:rPr>
        <w:t>、技术规范</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（一）赛项涉及专业教学要求：</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1．电路焊接、装配、调试应用能力。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2．传感器应用能力。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3．自动控制技术应用能力。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4．嵌入式编程调试能力。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5．无线通信与控制应用能力。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6．Android应用开发能力。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7.</w:t>
      </w:r>
      <w:r>
        <w:rPr>
          <w:sz w:val="30"/>
          <w:szCs w:val="30"/>
        </w:rPr>
        <w:t xml:space="preserve"> </w:t>
      </w:r>
      <w:r>
        <w:rPr>
          <w:rFonts w:hint="eastAsia"/>
          <w:sz w:val="30"/>
          <w:szCs w:val="30"/>
        </w:rPr>
        <w:t>嵌入式边缘计算应用能力。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8.</w:t>
      </w:r>
      <w:r>
        <w:rPr>
          <w:sz w:val="30"/>
          <w:szCs w:val="30"/>
        </w:rPr>
        <w:t xml:space="preserve"> </w:t>
      </w:r>
      <w:r>
        <w:rPr>
          <w:rFonts w:hint="eastAsia"/>
          <w:sz w:val="30"/>
          <w:szCs w:val="30"/>
        </w:rPr>
        <w:t>嵌入式人工智能与边缘计算技术应用能力。</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（二）本赛项遵循以下国家标准和行业标准：</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1.电工国家职业标准（职业编码6-31-01-03）。</w:t>
      </w:r>
    </w:p>
    <w:p>
      <w:pPr>
        <w:pageBreakBefore w:val="0"/>
        <w:widowControl w:val="0"/>
        <w:kinsoku/>
        <w:wordWrap/>
        <w:overflowPunct/>
        <w:topLinePunct w:val="0"/>
        <w:autoSpaceDE/>
        <w:autoSpaceDN/>
        <w:bidi w:val="0"/>
        <w:adjustRightInd/>
        <w:snapToGrid/>
        <w:spacing w:line="560" w:lineRule="exact"/>
        <w:ind w:left="860" w:leftChars="200" w:hanging="300" w:hangingChars="100"/>
        <w:textAlignment w:val="auto"/>
        <w:rPr>
          <w:sz w:val="30"/>
          <w:szCs w:val="30"/>
        </w:rPr>
      </w:pPr>
      <w:r>
        <w:rPr>
          <w:rFonts w:hint="eastAsia"/>
          <w:sz w:val="30"/>
          <w:szCs w:val="30"/>
        </w:rPr>
        <w:t>2.广电和通信设备电子装接工国家职业标准（职业编码6-25-04-07）。</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3.广电和通信设备调试工国家职业标准（职业编码6-25-04-08）。</w:t>
      </w:r>
    </w:p>
    <w:p>
      <w:pPr>
        <w:pageBreakBefore w:val="0"/>
        <w:widowControl w:val="0"/>
        <w:kinsoku/>
        <w:wordWrap/>
        <w:overflowPunct/>
        <w:topLinePunct w:val="0"/>
        <w:autoSpaceDE/>
        <w:autoSpaceDN/>
        <w:bidi w:val="0"/>
        <w:adjustRightInd/>
        <w:snapToGrid/>
        <w:spacing w:line="560" w:lineRule="exact"/>
        <w:ind w:left="860" w:leftChars="200" w:hanging="300" w:hangingChars="100"/>
        <w:textAlignment w:val="auto"/>
        <w:rPr>
          <w:sz w:val="30"/>
          <w:szCs w:val="30"/>
        </w:rPr>
      </w:pPr>
      <w:r>
        <w:rPr>
          <w:rFonts w:hint="eastAsia"/>
          <w:sz w:val="30"/>
          <w:szCs w:val="30"/>
        </w:rPr>
        <w:t>4.半导体分立器件和集成电路装调工国家职业标准（职业编码6-25-02-06）。</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5.电子产品制版工国家职业标准（职业编码6-25-01-12）。</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6.信息通信网络终端维修员国家职业标准（职业编码4-12-02-03）。</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rPr>
        <w:t>十</w:t>
      </w:r>
      <w:r>
        <w:rPr>
          <w:rFonts w:hint="eastAsia"/>
          <w:lang w:val="en-US" w:eastAsia="zh-CN"/>
        </w:rPr>
        <w:t>一</w:t>
      </w:r>
      <w:r>
        <w:rPr>
          <w:rFonts w:hint="eastAsia"/>
        </w:rPr>
        <w:t>、技术平台</w:t>
      </w:r>
    </w:p>
    <w:p>
      <w:pPr>
        <w:pageBreakBefore w:val="0"/>
        <w:widowControl w:val="0"/>
        <w:kinsoku/>
        <w:wordWrap/>
        <w:overflowPunct/>
        <w:topLinePunct w:val="0"/>
        <w:autoSpaceDE/>
        <w:autoSpaceDN/>
        <w:bidi w:val="0"/>
        <w:adjustRightInd/>
        <w:snapToGrid/>
        <w:spacing w:line="560" w:lineRule="exact"/>
        <w:ind w:firstLine="560"/>
        <w:jc w:val="left"/>
        <w:textAlignment w:val="auto"/>
        <w:rPr>
          <w:rFonts w:hAnsi="仿宋_GB2312" w:cs="仿宋_GB2312"/>
          <w:bCs/>
          <w:sz w:val="30"/>
          <w:szCs w:val="30"/>
        </w:rPr>
      </w:pPr>
      <w:r>
        <w:rPr>
          <w:rFonts w:hint="eastAsia" w:hAnsi="仿宋_GB2312" w:cs="仿宋_GB2312"/>
          <w:bCs/>
          <w:sz w:val="30"/>
          <w:szCs w:val="30"/>
        </w:rPr>
        <w:t>参赛选手应根据赛项规定自带相关设备与工具，不得私自携带赛项规程规定以外的任何物品。竞赛技术平台参数、需要准备的相关仪器、设备和工具等见表2-表6。</w:t>
      </w:r>
    </w:p>
    <w:p>
      <w:pPr>
        <w:spacing w:line="560" w:lineRule="exact"/>
        <w:ind w:firstLine="482"/>
        <w:jc w:val="center"/>
        <w:rPr>
          <w:rFonts w:hAnsi="仿宋_GB2312" w:cs="仿宋_GB2312"/>
          <w:bCs/>
          <w:szCs w:val="28"/>
        </w:rPr>
      </w:pPr>
      <w:r>
        <w:rPr>
          <w:rFonts w:hint="eastAsia" w:hAnsi="仿宋_GB2312" w:cs="仿宋_GB2312"/>
          <w:b/>
          <w:sz w:val="24"/>
          <w:szCs w:val="24"/>
        </w:rPr>
        <w:t>表2 竞赛技术平台参数表</w:t>
      </w:r>
    </w:p>
    <w:tbl>
      <w:tblPr>
        <w:tblStyle w:val="10"/>
        <w:tblW w:w="9116" w:type="dxa"/>
        <w:jc w:val="center"/>
        <w:tblLayout w:type="fixed"/>
        <w:tblCellMar>
          <w:top w:w="0" w:type="dxa"/>
          <w:left w:w="108" w:type="dxa"/>
          <w:bottom w:w="0" w:type="dxa"/>
          <w:right w:w="108" w:type="dxa"/>
        </w:tblCellMar>
      </w:tblPr>
      <w:tblGrid>
        <w:gridCol w:w="1065"/>
        <w:gridCol w:w="8051"/>
      </w:tblGrid>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vAlign w:val="center"/>
          </w:tcPr>
          <w:p>
            <w:pPr>
              <w:pStyle w:val="15"/>
              <w:rPr>
                <w:rFonts w:hint="eastAsia" w:ascii="黑体" w:hAnsi="黑体" w:eastAsia="黑体" w:cs="黑体"/>
              </w:rPr>
            </w:pPr>
            <w:r>
              <w:rPr>
                <w:rFonts w:hint="eastAsia" w:ascii="黑体" w:hAnsi="黑体" w:eastAsia="黑体" w:cs="黑体"/>
              </w:rPr>
              <w:t>名  称</w:t>
            </w:r>
          </w:p>
        </w:tc>
        <w:tc>
          <w:tcPr>
            <w:tcW w:w="8051" w:type="dxa"/>
            <w:tcBorders>
              <w:top w:val="single" w:color="000000" w:sz="4" w:space="0"/>
              <w:left w:val="nil"/>
              <w:bottom w:val="single" w:color="000000" w:sz="4" w:space="0"/>
              <w:right w:val="single" w:color="000000" w:sz="4" w:space="0"/>
            </w:tcBorders>
            <w:vAlign w:val="center"/>
          </w:tcPr>
          <w:p>
            <w:pPr>
              <w:pStyle w:val="15"/>
              <w:rPr>
                <w:rFonts w:hint="eastAsia" w:ascii="黑体" w:hAnsi="黑体" w:eastAsia="黑体" w:cs="黑体"/>
              </w:rPr>
            </w:pPr>
            <w:r>
              <w:rPr>
                <w:rFonts w:hint="eastAsia" w:ascii="黑体" w:hAnsi="黑体" w:eastAsia="黑体" w:cs="黑体"/>
              </w:rPr>
              <w:t>主要功能/技术参数</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竞赛平台（主车）</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2"/>
              </w:numPr>
              <w:jc w:val="left"/>
            </w:pPr>
            <w:r>
              <w:rPr>
                <w:rFonts w:hint="eastAsia"/>
              </w:rPr>
              <w:t>尺寸：约300mm*220mm*290mm。</w:t>
            </w:r>
          </w:p>
          <w:p>
            <w:pPr>
              <w:pStyle w:val="15"/>
              <w:numPr>
                <w:ilvl w:val="0"/>
                <w:numId w:val="2"/>
              </w:numPr>
              <w:jc w:val="left"/>
            </w:pPr>
            <w:r>
              <w:rPr>
                <w:rFonts w:hint="eastAsia"/>
              </w:rPr>
              <w:t>电源：不少于2组6800mAh，12.6V输出锂电池组。</w:t>
            </w:r>
          </w:p>
          <w:p>
            <w:pPr>
              <w:pStyle w:val="15"/>
              <w:numPr>
                <w:ilvl w:val="0"/>
                <w:numId w:val="2"/>
              </w:numPr>
              <w:ind w:left="0" w:firstLine="0"/>
              <w:jc w:val="left"/>
            </w:pPr>
            <w:r>
              <w:rPr>
                <w:rFonts w:hint="eastAsia"/>
              </w:rPr>
              <w:t>主要功能模块：100万像素数控云台摄像头、边缘计算移动终端、测速码盘模块、嵌入式微控制智能车运动控制模块、现场总线通信模块、RFID射频通信模块、数据信息显示模块、智能循迹模块、OLED显示模块、智能语音识别模块、电量监测单元、无线组网通信模块、超声波、光照强度等传感器模块。</w:t>
            </w:r>
          </w:p>
          <w:p>
            <w:pPr>
              <w:pStyle w:val="15"/>
              <w:numPr>
                <w:ilvl w:val="0"/>
                <w:numId w:val="2"/>
              </w:numPr>
              <w:ind w:left="0" w:firstLine="0"/>
              <w:jc w:val="left"/>
            </w:pPr>
            <w:r>
              <w:rPr>
                <w:rFonts w:hint="eastAsia"/>
              </w:rPr>
              <w:t>平台需支持完成智能车运动控制、传感器数据采集、视频采集与处理、二维码识别、车牌识别、颜色识别、红外通信、无线组网通信、APP应用开发、边缘计算应用开发等功能。</w:t>
            </w:r>
          </w:p>
          <w:p>
            <w:pPr>
              <w:pStyle w:val="15"/>
              <w:numPr>
                <w:ilvl w:val="0"/>
                <w:numId w:val="2"/>
              </w:numPr>
              <w:ind w:left="0" w:firstLine="0"/>
              <w:jc w:val="left"/>
            </w:pPr>
            <w:r>
              <w:rPr>
                <w:rFonts w:hint="eastAsia"/>
              </w:rPr>
              <w:t>平台包含智能车体、核心控制单元、智能显示通信单元、电机单元、车载供电单元、智能循迹单元、功能任务扩展单元、电机控制单元、摄像头模块单元等功能模块部件。</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竞赛平台（从车）</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3"/>
              </w:numPr>
              <w:jc w:val="left"/>
            </w:pPr>
            <w:r>
              <w:rPr>
                <w:rFonts w:hint="eastAsia"/>
              </w:rPr>
              <w:t>尺寸：约300mm*220mm*240mm。</w:t>
            </w:r>
          </w:p>
          <w:p>
            <w:pPr>
              <w:pStyle w:val="15"/>
              <w:numPr>
                <w:ilvl w:val="0"/>
                <w:numId w:val="3"/>
              </w:numPr>
              <w:jc w:val="left"/>
            </w:pPr>
            <w:r>
              <w:rPr>
                <w:rFonts w:hint="eastAsia"/>
              </w:rPr>
              <w:t>电源：不少于2组6800mAh，12.6V输出锂电池组。</w:t>
            </w:r>
          </w:p>
          <w:p>
            <w:pPr>
              <w:pStyle w:val="15"/>
              <w:numPr>
                <w:ilvl w:val="0"/>
                <w:numId w:val="3"/>
              </w:numPr>
              <w:ind w:left="0" w:firstLine="0"/>
              <w:jc w:val="left"/>
            </w:pPr>
            <w:r>
              <w:rPr>
                <w:rFonts w:hint="eastAsia"/>
              </w:rPr>
              <w:t>主要功能模块：30万智能视觉摄像头，智能循迹单元、开源硬件编程应用模块、CAN总线通信模块、FSMC总线通信与仲裁控制单元、智能移动机器人运动控制单元、测速码盘模块、数据信息显示模块、智能语音识别模块、电量监测单元、无线组网通信模块、超声波、光照强度等传感器模块。</w:t>
            </w:r>
          </w:p>
          <w:p>
            <w:pPr>
              <w:pStyle w:val="15"/>
              <w:numPr>
                <w:ilvl w:val="0"/>
                <w:numId w:val="3"/>
              </w:numPr>
              <w:ind w:left="0" w:firstLine="0"/>
              <w:jc w:val="left"/>
            </w:pPr>
            <w:r>
              <w:rPr>
                <w:rFonts w:hint="eastAsia"/>
              </w:rPr>
              <w:t>可完成智能移动机器人运动控制、传感器数据采集、智能视觉识别（二维码、颜色、图形识别）、红外通信、无线组网通信等功能。</w:t>
            </w:r>
          </w:p>
          <w:p>
            <w:pPr>
              <w:pStyle w:val="15"/>
              <w:numPr>
                <w:ilvl w:val="0"/>
                <w:numId w:val="3"/>
              </w:numPr>
              <w:ind w:left="0" w:firstLine="0"/>
              <w:jc w:val="left"/>
            </w:pPr>
            <w:r>
              <w:rPr>
                <w:rFonts w:hint="eastAsia"/>
              </w:rPr>
              <w:t>平台包含智能车体、控制器单元（STM32）、控制器单元（Arduino）、机器视觉摄像头单元、智能显示通信单元、电机单元、车载供电单元、智能循迹单元、任务板单元等功能模块部件。</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嵌入式技术综合应用实训沙盘</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4"/>
              </w:numPr>
              <w:jc w:val="left"/>
            </w:pPr>
            <w:r>
              <w:rPr>
                <w:rFonts w:hint="eastAsia"/>
              </w:rPr>
              <w:t>尺寸：2.5m*2.5m。</w:t>
            </w:r>
          </w:p>
          <w:p>
            <w:pPr>
              <w:pStyle w:val="15"/>
              <w:numPr>
                <w:ilvl w:val="0"/>
                <w:numId w:val="4"/>
              </w:numPr>
              <w:ind w:left="0" w:firstLine="0"/>
              <w:jc w:val="left"/>
            </w:pPr>
            <w:r>
              <w:rPr>
                <w:rFonts w:hint="eastAsia"/>
              </w:rPr>
              <w:t>主要功能模块套件：智能TFT显示器套件、道闸标志物套件、静态标志物、智能路灯开发套件、智能交通灯标志物套件、立体显示标志物套件、烽火台报警标志物套件、智能立体车库标志物、LED显示标志物套件、无线充电标志物套件、语音控制标志物套件、ETC系统标志物套件、特殊地形标志物套件等。</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移动终端</w:t>
            </w:r>
          </w:p>
        </w:tc>
        <w:tc>
          <w:tcPr>
            <w:tcW w:w="8051" w:type="dxa"/>
            <w:tcBorders>
              <w:top w:val="single" w:color="000000" w:sz="4" w:space="0"/>
              <w:left w:val="nil"/>
              <w:bottom w:val="single" w:color="000000" w:sz="4" w:space="0"/>
              <w:right w:val="single" w:color="000000" w:sz="4" w:space="0"/>
            </w:tcBorders>
            <w:vAlign w:val="center"/>
          </w:tcPr>
          <w:p>
            <w:pPr>
              <w:pStyle w:val="15"/>
              <w:jc w:val="left"/>
            </w:pPr>
            <w:r>
              <w:rPr>
                <w:rFonts w:hint="eastAsia"/>
              </w:rPr>
              <w:t>支持Android应用程序开发、支持WiFi、蓝牙无线通信。</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自动评分系统</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5"/>
              </w:numPr>
              <w:jc w:val="left"/>
            </w:pPr>
            <w:r>
              <w:rPr>
                <w:rFonts w:hint="eastAsia"/>
              </w:rPr>
              <w:t>系统为基于.NET Framework开发的 WPF桌面应用软件，包含自动评分单元、手动评分单元、评分表格打印、自动保存、错误自动检测等功能单元。</w:t>
            </w:r>
          </w:p>
          <w:p>
            <w:pPr>
              <w:pStyle w:val="15"/>
              <w:numPr>
                <w:ilvl w:val="0"/>
                <w:numId w:val="5"/>
              </w:numPr>
              <w:jc w:val="left"/>
            </w:pPr>
            <w:r>
              <w:rPr>
                <w:rFonts w:hint="eastAsia"/>
              </w:rPr>
              <w:t>要求系统支持通过SQLite DLL驱动实现数据本地化存储，具有安全性高，免安装，移植性强等特点。</w:t>
            </w:r>
          </w:p>
          <w:p>
            <w:pPr>
              <w:pStyle w:val="15"/>
              <w:numPr>
                <w:ilvl w:val="0"/>
                <w:numId w:val="5"/>
              </w:numPr>
              <w:jc w:val="left"/>
            </w:pPr>
            <w:r>
              <w:rPr>
                <w:rFonts w:hint="eastAsia"/>
              </w:rPr>
              <w:t>系统包含试题管理、试题编辑、试题阅览等功能板块，要求支持对各沙盘标志物返回数据内容、分值、竞赛平台路径等自定义编辑。</w:t>
            </w:r>
          </w:p>
          <w:p>
            <w:pPr>
              <w:pStyle w:val="15"/>
              <w:numPr>
                <w:ilvl w:val="0"/>
                <w:numId w:val="5"/>
              </w:numPr>
              <w:jc w:val="left"/>
            </w:pPr>
            <w:r>
              <w:rPr>
                <w:rFonts w:hint="eastAsia"/>
              </w:rPr>
              <w:t>系统具有测评分数自动统计、自动软件计时等功能。</w:t>
            </w:r>
          </w:p>
          <w:p>
            <w:pPr>
              <w:pStyle w:val="15"/>
              <w:numPr>
                <w:ilvl w:val="0"/>
                <w:numId w:val="5"/>
              </w:numPr>
              <w:jc w:val="left"/>
            </w:pPr>
            <w:r>
              <w:rPr>
                <w:rFonts w:hint="eastAsia"/>
              </w:rPr>
              <w:t>要求提供自动化评分系统数据接收终端一个，该终端支持无线自组网通信，可与实训沙盘中标志物互联互通，接收标志物返回信息，为评分系统提供数据来源。</w:t>
            </w:r>
          </w:p>
        </w:tc>
      </w:tr>
    </w:tbl>
    <w:p>
      <w:pPr>
        <w:spacing w:line="560" w:lineRule="exact"/>
        <w:ind w:left="0" w:leftChars="0" w:firstLine="0" w:firstLineChars="0"/>
        <w:jc w:val="center"/>
        <w:rPr>
          <w:rFonts w:hAnsi="仿宋_GB2312" w:cs="仿宋_GB2312"/>
          <w:b/>
          <w:szCs w:val="24"/>
        </w:rPr>
      </w:pPr>
      <w:r>
        <w:rPr>
          <w:rFonts w:hint="eastAsia" w:hAnsi="仿宋_GB2312" w:cs="仿宋_GB2312"/>
          <w:b/>
          <w:sz w:val="24"/>
          <w:szCs w:val="24"/>
        </w:rPr>
        <w:t>表3 自带设备、仪器与工具要求说明表</w:t>
      </w:r>
    </w:p>
    <w:tbl>
      <w:tblPr>
        <w:tblStyle w:val="10"/>
        <w:tblW w:w="9078" w:type="dxa"/>
        <w:jc w:val="center"/>
        <w:tblLayout w:type="fixed"/>
        <w:tblCellMar>
          <w:top w:w="0" w:type="dxa"/>
          <w:left w:w="108" w:type="dxa"/>
          <w:bottom w:w="0" w:type="dxa"/>
          <w:right w:w="108" w:type="dxa"/>
        </w:tblCellMar>
      </w:tblPr>
      <w:tblGrid>
        <w:gridCol w:w="748"/>
        <w:gridCol w:w="1903"/>
        <w:gridCol w:w="6427"/>
      </w:tblGrid>
      <w:tr>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序号</w:t>
            </w:r>
          </w:p>
        </w:tc>
        <w:tc>
          <w:tcPr>
            <w:tcW w:w="1903"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名称</w:t>
            </w:r>
          </w:p>
        </w:tc>
        <w:tc>
          <w:tcPr>
            <w:tcW w:w="6427"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规格说明</w:t>
            </w:r>
          </w:p>
        </w:tc>
      </w:tr>
      <w:tr>
        <w:tblPrEx>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nil"/>
              <w:left w:val="nil"/>
              <w:bottom w:val="single" w:color="auto" w:sz="4" w:space="0"/>
              <w:right w:val="single" w:color="auto" w:sz="4" w:space="0"/>
            </w:tcBorders>
            <w:vAlign w:val="center"/>
          </w:tcPr>
          <w:p>
            <w:pPr>
              <w:pStyle w:val="15"/>
            </w:pPr>
            <w:r>
              <w:rPr>
                <w:rFonts w:hint="eastAsia"/>
              </w:rPr>
              <w:t>竞赛平台</w:t>
            </w:r>
          </w:p>
          <w:p>
            <w:pPr>
              <w:pStyle w:val="15"/>
            </w:pPr>
            <w:r>
              <w:rPr>
                <w:rFonts w:hint="eastAsia"/>
              </w:rPr>
              <w:t>（主车、从车）</w:t>
            </w:r>
          </w:p>
        </w:tc>
        <w:tc>
          <w:tcPr>
            <w:tcW w:w="6427" w:type="dxa"/>
            <w:tcBorders>
              <w:top w:val="nil"/>
              <w:left w:val="nil"/>
              <w:bottom w:val="single" w:color="auto" w:sz="4" w:space="0"/>
              <w:right w:val="single" w:color="auto" w:sz="4" w:space="0"/>
            </w:tcBorders>
            <w:vAlign w:val="center"/>
          </w:tcPr>
          <w:p>
            <w:pPr>
              <w:pStyle w:val="15"/>
            </w:pPr>
            <w:r>
              <w:rPr>
                <w:rFonts w:hint="eastAsia"/>
              </w:rPr>
              <w:t>符合表2竞赛技术平台参数要求</w:t>
            </w:r>
          </w:p>
        </w:tc>
      </w:tr>
      <w:tr>
        <w:tblPrEx>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nil"/>
              <w:left w:val="nil"/>
              <w:bottom w:val="single" w:color="auto" w:sz="4" w:space="0"/>
              <w:right w:val="single" w:color="auto" w:sz="4" w:space="0"/>
            </w:tcBorders>
            <w:vAlign w:val="center"/>
          </w:tcPr>
          <w:p>
            <w:pPr>
              <w:pStyle w:val="15"/>
            </w:pPr>
            <w:r>
              <w:rPr>
                <w:rFonts w:hint="eastAsia"/>
              </w:rPr>
              <w:t>移动终端</w:t>
            </w:r>
          </w:p>
        </w:tc>
        <w:tc>
          <w:tcPr>
            <w:tcW w:w="6427" w:type="dxa"/>
            <w:tcBorders>
              <w:top w:val="nil"/>
              <w:left w:val="nil"/>
              <w:bottom w:val="single" w:color="auto" w:sz="4" w:space="0"/>
              <w:right w:val="single" w:color="auto" w:sz="4" w:space="0"/>
            </w:tcBorders>
            <w:vAlign w:val="center"/>
          </w:tcPr>
          <w:p>
            <w:pPr>
              <w:pStyle w:val="15"/>
            </w:pPr>
            <w:r>
              <w:rPr>
                <w:rFonts w:hint="eastAsia"/>
              </w:rPr>
              <w:t>多品牌适用，不插入SIM卡</w:t>
            </w:r>
          </w:p>
        </w:tc>
      </w:tr>
      <w:tr>
        <w:tblPrEx>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nil"/>
              <w:left w:val="nil"/>
              <w:bottom w:val="single" w:color="auto" w:sz="4" w:space="0"/>
              <w:right w:val="single" w:color="auto" w:sz="4" w:space="0"/>
            </w:tcBorders>
            <w:vAlign w:val="center"/>
          </w:tcPr>
          <w:p>
            <w:pPr>
              <w:pStyle w:val="15"/>
            </w:pPr>
            <w:r>
              <w:rPr>
                <w:rFonts w:hint="eastAsia"/>
              </w:rPr>
              <w:t>数字万用表</w:t>
            </w:r>
          </w:p>
        </w:tc>
        <w:tc>
          <w:tcPr>
            <w:tcW w:w="6427" w:type="dxa"/>
            <w:tcBorders>
              <w:top w:val="nil"/>
              <w:left w:val="nil"/>
              <w:bottom w:val="single" w:color="auto" w:sz="4" w:space="0"/>
              <w:right w:val="single" w:color="auto" w:sz="4" w:space="0"/>
            </w:tcBorders>
            <w:vAlign w:val="center"/>
          </w:tcPr>
          <w:p>
            <w:pPr>
              <w:pStyle w:val="15"/>
            </w:pPr>
            <w:r>
              <w:rPr>
                <w:rFonts w:hint="eastAsia"/>
              </w:rPr>
              <w:t>3位半及以上，多品牌适用</w:t>
            </w:r>
          </w:p>
        </w:tc>
      </w:tr>
      <w:tr>
        <w:tblPrEx>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nil"/>
              <w:left w:val="nil"/>
              <w:bottom w:val="single" w:color="auto" w:sz="4" w:space="0"/>
              <w:right w:val="single" w:color="auto" w:sz="4" w:space="0"/>
            </w:tcBorders>
            <w:vAlign w:val="center"/>
          </w:tcPr>
          <w:p>
            <w:pPr>
              <w:pStyle w:val="15"/>
            </w:pPr>
            <w:r>
              <w:rPr>
                <w:rFonts w:hint="eastAsia"/>
              </w:rPr>
              <w:t>恒温烙铁</w:t>
            </w:r>
          </w:p>
        </w:tc>
        <w:tc>
          <w:tcPr>
            <w:tcW w:w="6427" w:type="dxa"/>
            <w:tcBorders>
              <w:top w:val="nil"/>
              <w:left w:val="nil"/>
              <w:bottom w:val="single" w:color="auto" w:sz="4" w:space="0"/>
              <w:right w:val="single" w:color="auto" w:sz="4" w:space="0"/>
            </w:tcBorders>
            <w:vAlign w:val="center"/>
          </w:tcPr>
          <w:p>
            <w:pPr>
              <w:pStyle w:val="15"/>
            </w:pPr>
            <w:r>
              <w:rPr>
                <w:rFonts w:hint="eastAsia"/>
              </w:rPr>
              <w:t>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热风枪</w:t>
            </w:r>
          </w:p>
        </w:tc>
        <w:tc>
          <w:tcPr>
            <w:tcW w:w="6427"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工具箱</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含带漏电保护的国标电源插线板，螺丝刀套件（大小十字、一字）、芯片盒、细毛刷、洗板水壶、吸锡枪、助焊膏、尖嘴钳、偏口钳、焊锡丝、吸锡带、飞线、</w:t>
            </w:r>
          </w:p>
          <w:p>
            <w:pPr>
              <w:pStyle w:val="15"/>
              <w:jc w:val="both"/>
            </w:pPr>
            <w:r>
              <w:rPr>
                <w:rFonts w:hint="eastAsia"/>
              </w:rPr>
              <w:t>刀片、粗毛刷、防静电镊子等</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笔记本电脑</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多品牌适用，禁止创建无线热点</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ARM编程器</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可用于STM32编程、仿真使用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USB转TTL模块</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用于电脑与设备间的串口调试，语音模块词条烧写</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RJ45网线</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用于竞赛平台上的网络摄像头配置，多品牌适用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rPr>
                <w:color w:val="auto"/>
              </w:rPr>
            </w:pPr>
          </w:p>
        </w:tc>
        <w:tc>
          <w:tcPr>
            <w:tcW w:w="1903" w:type="dxa"/>
            <w:tcBorders>
              <w:top w:val="single" w:color="auto" w:sz="4" w:space="0"/>
              <w:left w:val="nil"/>
              <w:bottom w:val="single" w:color="auto" w:sz="4" w:space="0"/>
              <w:right w:val="single" w:color="auto" w:sz="4" w:space="0"/>
            </w:tcBorders>
            <w:vAlign w:val="top"/>
          </w:tcPr>
          <w:p>
            <w:pPr>
              <w:pStyle w:val="15"/>
              <w:ind w:firstLine="0" w:firstLineChars="0"/>
              <w:rPr>
                <w:rFonts w:hint="eastAsia" w:ascii="仿宋_GB2312" w:hAnsi="Times New Roman" w:eastAsia="仿宋_GB2312" w:cs="Times New Roman"/>
                <w:color w:val="auto"/>
                <w:kern w:val="2"/>
                <w:sz w:val="24"/>
                <w:szCs w:val="22"/>
                <w:highlight w:val="none"/>
                <w:lang w:val="en-US" w:eastAsia="zh-CN" w:bidi="ar-SA"/>
              </w:rPr>
            </w:pPr>
            <w:r>
              <w:rPr>
                <w:rFonts w:hint="eastAsia"/>
                <w:color w:val="auto"/>
                <w:highlight w:val="none"/>
              </w:rPr>
              <w:t>数字示波器</w:t>
            </w:r>
          </w:p>
        </w:tc>
        <w:tc>
          <w:tcPr>
            <w:tcW w:w="6427" w:type="dxa"/>
            <w:tcBorders>
              <w:top w:val="single" w:color="auto" w:sz="4" w:space="0"/>
              <w:left w:val="nil"/>
              <w:bottom w:val="single" w:color="auto" w:sz="4" w:space="0"/>
              <w:right w:val="single" w:color="auto" w:sz="4" w:space="0"/>
            </w:tcBorders>
            <w:vAlign w:val="top"/>
          </w:tcPr>
          <w:p>
            <w:pPr>
              <w:pStyle w:val="15"/>
              <w:ind w:firstLine="0" w:firstLineChars="0"/>
              <w:rPr>
                <w:rFonts w:hint="eastAsia" w:ascii="仿宋_GB2312" w:hAnsi="Times New Roman" w:eastAsia="仿宋_GB2312" w:cs="Times New Roman"/>
                <w:color w:val="auto"/>
                <w:kern w:val="2"/>
                <w:sz w:val="24"/>
                <w:szCs w:val="22"/>
                <w:highlight w:val="none"/>
                <w:lang w:val="en-US" w:eastAsia="zh-CN" w:bidi="ar-SA"/>
              </w:rPr>
            </w:pPr>
            <w:r>
              <w:rPr>
                <w:rFonts w:hint="eastAsia"/>
                <w:color w:val="auto"/>
                <w:highlight w:val="none"/>
              </w:rPr>
              <w:t>（频率范围：50M</w:t>
            </w:r>
            <w:r>
              <w:rPr>
                <w:rFonts w:hint="eastAsia"/>
                <w:color w:val="auto"/>
                <w:highlight w:val="none"/>
                <w:lang w:val="en-US" w:eastAsia="zh-CN"/>
              </w:rPr>
              <w:t>及</w:t>
            </w:r>
            <w:r>
              <w:rPr>
                <w:rFonts w:hint="eastAsia"/>
                <w:color w:val="auto"/>
                <w:highlight w:val="none"/>
              </w:rPr>
              <w:t>以上）多品牌适用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ind w:firstLine="0" w:firstLineChars="0"/>
              <w:rPr>
                <w:rFonts w:hint="eastAsia" w:ascii="仿宋_GB2312" w:hAnsi="Times New Roman" w:eastAsia="仿宋_GB2312" w:cs="Times New Roman"/>
                <w:color w:val="auto"/>
                <w:kern w:val="2"/>
                <w:sz w:val="24"/>
                <w:szCs w:val="22"/>
                <w:highlight w:val="none"/>
                <w:lang w:val="en-US" w:eastAsia="zh-CN" w:bidi="ar-SA"/>
              </w:rPr>
            </w:pPr>
            <w:r>
              <w:rPr>
                <w:rFonts w:hint="eastAsia"/>
                <w:color w:val="auto"/>
                <w:highlight w:val="none"/>
              </w:rPr>
              <w:t>直流稳压源</w:t>
            </w:r>
          </w:p>
        </w:tc>
        <w:tc>
          <w:tcPr>
            <w:tcW w:w="6427" w:type="dxa"/>
            <w:tcBorders>
              <w:top w:val="single" w:color="auto" w:sz="4" w:space="0"/>
              <w:left w:val="nil"/>
              <w:bottom w:val="single" w:color="auto" w:sz="4" w:space="0"/>
              <w:right w:val="single" w:color="auto" w:sz="4" w:space="0"/>
            </w:tcBorders>
            <w:vAlign w:val="top"/>
          </w:tcPr>
          <w:p>
            <w:pPr>
              <w:pStyle w:val="15"/>
              <w:ind w:firstLine="0" w:firstLineChars="0"/>
              <w:rPr>
                <w:rFonts w:hint="eastAsia" w:ascii="仿宋_GB2312" w:hAnsi="Times New Roman" w:eastAsia="仿宋_GB2312" w:cs="Times New Roman"/>
                <w:color w:val="auto"/>
                <w:kern w:val="2"/>
                <w:sz w:val="24"/>
                <w:szCs w:val="22"/>
                <w:highlight w:val="none"/>
                <w:lang w:val="en-US" w:eastAsia="zh-CN" w:bidi="ar-SA"/>
              </w:rPr>
            </w:pPr>
            <w:r>
              <w:rPr>
                <w:rFonts w:hint="eastAsia"/>
                <w:color w:val="auto"/>
                <w:highlight w:val="none"/>
              </w:rPr>
              <w:t>（1台/组：0-30V/0-3A,两路输出）多品牌适用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ind w:firstLine="0" w:firstLineChars="0"/>
              <w:rPr>
                <w:rFonts w:hint="default" w:eastAsia="仿宋_GB2312"/>
                <w:color w:val="auto"/>
                <w:highlight w:val="none"/>
                <w:lang w:val="en-US" w:eastAsia="zh-CN"/>
              </w:rPr>
            </w:pPr>
            <w:r>
              <w:rPr>
                <w:rFonts w:hint="eastAsia"/>
                <w:color w:val="auto"/>
                <w:highlight w:val="none"/>
                <w:lang w:val="en-US" w:eastAsia="zh-CN"/>
              </w:rPr>
              <w:t>信号发生器</w:t>
            </w:r>
          </w:p>
        </w:tc>
        <w:tc>
          <w:tcPr>
            <w:tcW w:w="6427" w:type="dxa"/>
            <w:tcBorders>
              <w:top w:val="single" w:color="auto" w:sz="4" w:space="0"/>
              <w:left w:val="nil"/>
              <w:bottom w:val="single" w:color="auto" w:sz="4" w:space="0"/>
              <w:right w:val="single" w:color="auto" w:sz="4" w:space="0"/>
            </w:tcBorders>
            <w:vAlign w:val="top"/>
          </w:tcPr>
          <w:p>
            <w:pPr>
              <w:pStyle w:val="15"/>
              <w:ind w:firstLine="0" w:firstLineChars="0"/>
              <w:rPr>
                <w:rFonts w:hint="eastAsia"/>
                <w:color w:val="auto"/>
                <w:highlight w:val="none"/>
              </w:rPr>
            </w:pPr>
            <w:r>
              <w:rPr>
                <w:rFonts w:hint="eastAsia"/>
                <w:color w:val="auto"/>
                <w:highlight w:val="none"/>
              </w:rPr>
              <w:t>（</w:t>
            </w:r>
            <w:r>
              <w:rPr>
                <w:rFonts w:hint="eastAsia"/>
                <w:color w:val="auto"/>
                <w:highlight w:val="none"/>
                <w:lang w:val="en-US" w:eastAsia="zh-CN"/>
              </w:rPr>
              <w:t>5Mhz及以上</w:t>
            </w:r>
            <w:r>
              <w:rPr>
                <w:rFonts w:hint="eastAsia"/>
                <w:color w:val="auto"/>
                <w:highlight w:val="none"/>
              </w:rPr>
              <w:t>）多品牌适用</w:t>
            </w:r>
          </w:p>
        </w:tc>
      </w:tr>
    </w:tbl>
    <w:p>
      <w:pPr>
        <w:spacing w:line="560" w:lineRule="exact"/>
        <w:ind w:firstLine="482"/>
        <w:jc w:val="center"/>
        <w:rPr>
          <w:rFonts w:hAnsi="仿宋_GB2312" w:cs="仿宋_GB2312"/>
          <w:bCs/>
          <w:szCs w:val="28"/>
          <w:highlight w:val="none"/>
        </w:rPr>
      </w:pPr>
      <w:r>
        <w:rPr>
          <w:rFonts w:hint="eastAsia" w:hAnsi="仿宋_GB2312" w:cs="仿宋_GB2312"/>
          <w:b/>
          <w:sz w:val="24"/>
          <w:szCs w:val="24"/>
          <w:highlight w:val="none"/>
        </w:rPr>
        <w:t>表4赛项</w:t>
      </w:r>
      <w:r>
        <w:rPr>
          <w:rFonts w:hint="eastAsia" w:hAnsi="仿宋_GB2312" w:cs="仿宋_GB2312"/>
          <w:b/>
          <w:sz w:val="24"/>
          <w:szCs w:val="24"/>
          <w:highlight w:val="none"/>
          <w:lang w:val="en-US" w:eastAsia="zh-CN"/>
        </w:rPr>
        <w:t>组委</w:t>
      </w:r>
      <w:r>
        <w:rPr>
          <w:rFonts w:hint="eastAsia" w:hAnsi="仿宋_GB2312" w:cs="仿宋_GB2312"/>
          <w:b/>
          <w:sz w:val="24"/>
          <w:szCs w:val="24"/>
          <w:highlight w:val="none"/>
        </w:rPr>
        <w:t>会提供</w:t>
      </w:r>
      <w:r>
        <w:rPr>
          <w:rFonts w:hint="eastAsia" w:hAnsi="仿宋_GB2312" w:cs="仿宋_GB2312"/>
          <w:b/>
          <w:sz w:val="24"/>
          <w:szCs w:val="24"/>
          <w:highlight w:val="none"/>
          <w:lang w:val="en-US" w:eastAsia="zh-CN"/>
        </w:rPr>
        <w:t>物品</w:t>
      </w:r>
      <w:r>
        <w:rPr>
          <w:rFonts w:hint="eastAsia" w:hAnsi="仿宋_GB2312" w:cs="仿宋_GB2312"/>
          <w:b/>
          <w:sz w:val="24"/>
          <w:szCs w:val="24"/>
          <w:highlight w:val="none"/>
        </w:rPr>
        <w:t>说明表</w:t>
      </w:r>
    </w:p>
    <w:tbl>
      <w:tblPr>
        <w:tblStyle w:val="10"/>
        <w:tblW w:w="9058" w:type="dxa"/>
        <w:jc w:val="center"/>
        <w:tblLayout w:type="fixed"/>
        <w:tblCellMar>
          <w:top w:w="0" w:type="dxa"/>
          <w:left w:w="108" w:type="dxa"/>
          <w:bottom w:w="0" w:type="dxa"/>
          <w:right w:w="108" w:type="dxa"/>
        </w:tblCellMar>
      </w:tblPr>
      <w:tblGrid>
        <w:gridCol w:w="751"/>
        <w:gridCol w:w="1947"/>
        <w:gridCol w:w="6360"/>
      </w:tblGrid>
      <w:tr>
        <w:tblPrEx>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pStyle w:val="15"/>
              <w:rPr>
                <w:rFonts w:hint="eastAsia" w:ascii="黑体" w:hAnsi="黑体" w:eastAsia="黑体" w:cs="黑体"/>
                <w:highlight w:val="none"/>
              </w:rPr>
            </w:pPr>
            <w:r>
              <w:rPr>
                <w:rFonts w:hint="eastAsia" w:ascii="黑体" w:hAnsi="黑体" w:eastAsia="黑体" w:cs="黑体"/>
                <w:highlight w:val="none"/>
              </w:rPr>
              <w:t>序号</w:t>
            </w:r>
          </w:p>
        </w:tc>
        <w:tc>
          <w:tcPr>
            <w:tcW w:w="1947" w:type="dxa"/>
            <w:tcBorders>
              <w:top w:val="single" w:color="000000" w:sz="4" w:space="0"/>
              <w:left w:val="nil"/>
              <w:bottom w:val="single" w:color="000000" w:sz="4" w:space="0"/>
              <w:right w:val="single" w:color="000000" w:sz="4" w:space="0"/>
            </w:tcBorders>
            <w:vAlign w:val="center"/>
          </w:tcPr>
          <w:p>
            <w:pPr>
              <w:pStyle w:val="15"/>
              <w:rPr>
                <w:rFonts w:hint="eastAsia" w:ascii="黑体" w:hAnsi="黑体" w:eastAsia="黑体" w:cs="黑体"/>
                <w:highlight w:val="none"/>
              </w:rPr>
            </w:pPr>
            <w:r>
              <w:rPr>
                <w:rFonts w:hint="eastAsia" w:ascii="黑体" w:hAnsi="黑体" w:eastAsia="黑体" w:cs="黑体"/>
                <w:highlight w:val="none"/>
              </w:rPr>
              <w:t>仪器设备</w:t>
            </w:r>
          </w:p>
        </w:tc>
        <w:tc>
          <w:tcPr>
            <w:tcW w:w="6360" w:type="dxa"/>
            <w:tcBorders>
              <w:top w:val="single" w:color="000000" w:sz="4" w:space="0"/>
              <w:left w:val="nil"/>
              <w:bottom w:val="single" w:color="000000" w:sz="4" w:space="0"/>
              <w:right w:val="single" w:color="000000" w:sz="4" w:space="0"/>
            </w:tcBorders>
            <w:vAlign w:val="center"/>
          </w:tcPr>
          <w:p>
            <w:pPr>
              <w:pStyle w:val="15"/>
              <w:rPr>
                <w:rFonts w:hint="eastAsia" w:ascii="黑体" w:hAnsi="黑体" w:eastAsia="黑体" w:cs="黑体"/>
                <w:highlight w:val="none"/>
              </w:rPr>
            </w:pPr>
            <w:r>
              <w:rPr>
                <w:rFonts w:hint="eastAsia" w:ascii="黑体" w:hAnsi="黑体" w:eastAsia="黑体" w:cs="黑体"/>
                <w:highlight w:val="none"/>
              </w:rPr>
              <w:t>规格说明</w:t>
            </w:r>
          </w:p>
        </w:tc>
      </w:tr>
      <w:tr>
        <w:tblPrEx>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pStyle w:val="15"/>
              <w:rPr>
                <w:highlight w:val="none"/>
              </w:rPr>
            </w:pPr>
            <w:r>
              <w:rPr>
                <w:rFonts w:hint="eastAsia"/>
                <w:highlight w:val="none"/>
              </w:rPr>
              <w:t>1</w:t>
            </w:r>
          </w:p>
        </w:tc>
        <w:tc>
          <w:tcPr>
            <w:tcW w:w="1947"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kern w:val="2"/>
                <w:sz w:val="24"/>
                <w:szCs w:val="22"/>
                <w:highlight w:val="none"/>
                <w:lang w:val="en-US" w:eastAsia="zh-CN" w:bidi="ar-SA"/>
              </w:rPr>
            </w:pPr>
            <w:r>
              <w:rPr>
                <w:rFonts w:hint="eastAsia"/>
                <w:highlight w:val="none"/>
              </w:rPr>
              <w:t>可移动存储设备</w:t>
            </w:r>
          </w:p>
        </w:tc>
        <w:tc>
          <w:tcPr>
            <w:tcW w:w="6360"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kern w:val="2"/>
                <w:sz w:val="24"/>
                <w:szCs w:val="22"/>
                <w:highlight w:val="none"/>
                <w:lang w:val="en-US" w:eastAsia="zh-CN" w:bidi="ar-SA"/>
              </w:rPr>
            </w:pPr>
            <w:r>
              <w:rPr>
                <w:rFonts w:hint="eastAsia"/>
                <w:highlight w:val="none"/>
              </w:rPr>
              <w:t>USB接口，8G以上内存，多品牌适用</w:t>
            </w:r>
          </w:p>
        </w:tc>
      </w:tr>
      <w:tr>
        <w:tblPrEx>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pStyle w:val="15"/>
              <w:rPr>
                <w:highlight w:val="none"/>
              </w:rPr>
            </w:pPr>
            <w:r>
              <w:rPr>
                <w:rFonts w:hint="eastAsia"/>
                <w:highlight w:val="none"/>
              </w:rPr>
              <w:t>2</w:t>
            </w:r>
          </w:p>
        </w:tc>
        <w:tc>
          <w:tcPr>
            <w:tcW w:w="1947"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kern w:val="2"/>
                <w:sz w:val="24"/>
                <w:szCs w:val="22"/>
                <w:highlight w:val="none"/>
                <w:lang w:val="en-US" w:eastAsia="zh-CN" w:bidi="ar-SA"/>
              </w:rPr>
            </w:pPr>
            <w:r>
              <w:rPr>
                <w:rFonts w:hint="eastAsia"/>
                <w:highlight w:val="none"/>
              </w:rPr>
              <w:t>交流电源接线板</w:t>
            </w:r>
          </w:p>
        </w:tc>
        <w:tc>
          <w:tcPr>
            <w:tcW w:w="6360"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kern w:val="2"/>
                <w:sz w:val="24"/>
                <w:szCs w:val="22"/>
                <w:highlight w:val="none"/>
                <w:lang w:val="en-US" w:eastAsia="zh-CN" w:bidi="ar-SA"/>
              </w:rPr>
            </w:pPr>
            <w:r>
              <w:rPr>
                <w:rFonts w:hint="eastAsia"/>
                <w:highlight w:val="none"/>
              </w:rPr>
              <w:t>国标，带漏电保护，多品牌适用</w:t>
            </w:r>
          </w:p>
        </w:tc>
      </w:tr>
    </w:tbl>
    <w:p>
      <w:pPr>
        <w:spacing w:line="560" w:lineRule="exact"/>
        <w:ind w:firstLine="482"/>
        <w:jc w:val="center"/>
        <w:rPr>
          <w:rFonts w:hAnsi="仿宋_GB2312" w:cs="仿宋_GB2312"/>
          <w:bCs/>
          <w:szCs w:val="28"/>
        </w:rPr>
      </w:pPr>
      <w:r>
        <w:rPr>
          <w:rFonts w:hint="eastAsia" w:hAnsi="仿宋_GB2312" w:cs="仿宋_GB2312"/>
          <w:b/>
          <w:sz w:val="24"/>
          <w:szCs w:val="24"/>
        </w:rPr>
        <w:t>表5 竞赛软件平台表</w:t>
      </w:r>
    </w:p>
    <w:tbl>
      <w:tblPr>
        <w:tblStyle w:val="10"/>
        <w:tblW w:w="9075" w:type="dxa"/>
        <w:jc w:val="center"/>
        <w:tblLayout w:type="fixed"/>
        <w:tblCellMar>
          <w:top w:w="0" w:type="dxa"/>
          <w:left w:w="108" w:type="dxa"/>
          <w:bottom w:w="0" w:type="dxa"/>
          <w:right w:w="108" w:type="dxa"/>
        </w:tblCellMar>
      </w:tblPr>
      <w:tblGrid>
        <w:gridCol w:w="971"/>
        <w:gridCol w:w="5408"/>
        <w:gridCol w:w="2696"/>
      </w:tblGrid>
      <w:tr>
        <w:tblPrEx>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序号</w:t>
            </w:r>
          </w:p>
        </w:tc>
        <w:tc>
          <w:tcPr>
            <w:tcW w:w="5408"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推荐软件</w:t>
            </w:r>
          </w:p>
        </w:tc>
        <w:tc>
          <w:tcPr>
            <w:tcW w:w="2696"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备  注</w:t>
            </w:r>
          </w:p>
        </w:tc>
      </w:tr>
      <w:tr>
        <w:tblPrEx>
          <w:tblCellMar>
            <w:top w:w="0" w:type="dxa"/>
            <w:left w:w="108" w:type="dxa"/>
            <w:bottom w:w="0" w:type="dxa"/>
            <w:right w:w="108" w:type="dxa"/>
          </w:tblCellMar>
        </w:tblPrEx>
        <w:trPr>
          <w:trHeight w:val="454" w:hRule="atLeast"/>
          <w:jc w:val="center"/>
        </w:trPr>
        <w:tc>
          <w:tcPr>
            <w:tcW w:w="971" w:type="dxa"/>
            <w:tcBorders>
              <w:top w:val="nil"/>
              <w:left w:val="single" w:color="auto" w:sz="4" w:space="0"/>
              <w:bottom w:val="single" w:color="auto" w:sz="4" w:space="0"/>
              <w:right w:val="single" w:color="auto" w:sz="4" w:space="0"/>
            </w:tcBorders>
            <w:vAlign w:val="center"/>
          </w:tcPr>
          <w:p>
            <w:pPr>
              <w:pStyle w:val="15"/>
            </w:pPr>
            <w:r>
              <w:rPr>
                <w:rFonts w:hint="eastAsia"/>
              </w:rPr>
              <w:t>1</w:t>
            </w:r>
          </w:p>
        </w:tc>
        <w:tc>
          <w:tcPr>
            <w:tcW w:w="5408" w:type="dxa"/>
            <w:tcBorders>
              <w:top w:val="nil"/>
              <w:left w:val="nil"/>
              <w:bottom w:val="single" w:color="auto" w:sz="4" w:space="0"/>
              <w:right w:val="single" w:color="auto" w:sz="4" w:space="0"/>
            </w:tcBorders>
            <w:vAlign w:val="center"/>
          </w:tcPr>
          <w:p>
            <w:pPr>
              <w:pStyle w:val="15"/>
            </w:pPr>
            <w:r>
              <w:rPr>
                <w:rFonts w:hint="eastAsia"/>
              </w:rPr>
              <w:t>Windows 7、w</w:t>
            </w:r>
            <w:r>
              <w:t>in10</w:t>
            </w:r>
          </w:p>
        </w:tc>
        <w:tc>
          <w:tcPr>
            <w:tcW w:w="2696" w:type="dxa"/>
            <w:tcBorders>
              <w:top w:val="nil"/>
              <w:left w:val="nil"/>
              <w:bottom w:val="single" w:color="auto" w:sz="4" w:space="0"/>
              <w:right w:val="single" w:color="auto" w:sz="4" w:space="0"/>
            </w:tcBorders>
            <w:vAlign w:val="center"/>
          </w:tcPr>
          <w:p>
            <w:pPr>
              <w:pStyle w:val="15"/>
            </w:pPr>
            <w:r>
              <w:rPr>
                <w:rFonts w:hint="eastAsia"/>
              </w:rPr>
              <w:t>操作系统</w:t>
            </w:r>
          </w:p>
        </w:tc>
      </w:tr>
      <w:tr>
        <w:tblPrEx>
          <w:tblCellMar>
            <w:top w:w="0" w:type="dxa"/>
            <w:left w:w="108" w:type="dxa"/>
            <w:bottom w:w="0" w:type="dxa"/>
            <w:right w:w="108" w:type="dxa"/>
          </w:tblCellMar>
        </w:tblPrEx>
        <w:trPr>
          <w:trHeight w:val="454" w:hRule="atLeast"/>
          <w:jc w:val="center"/>
        </w:trPr>
        <w:tc>
          <w:tcPr>
            <w:tcW w:w="971" w:type="dxa"/>
            <w:tcBorders>
              <w:top w:val="nil"/>
              <w:left w:val="single" w:color="auto" w:sz="4" w:space="0"/>
              <w:bottom w:val="single" w:color="auto" w:sz="4" w:space="0"/>
              <w:right w:val="single" w:color="auto" w:sz="4" w:space="0"/>
            </w:tcBorders>
            <w:vAlign w:val="center"/>
          </w:tcPr>
          <w:p>
            <w:pPr>
              <w:pStyle w:val="15"/>
            </w:pPr>
            <w:r>
              <w:rPr>
                <w:rFonts w:hint="eastAsia"/>
              </w:rPr>
              <w:t>2</w:t>
            </w:r>
          </w:p>
        </w:tc>
        <w:tc>
          <w:tcPr>
            <w:tcW w:w="5408" w:type="dxa"/>
            <w:tcBorders>
              <w:top w:val="nil"/>
              <w:left w:val="nil"/>
              <w:bottom w:val="single" w:color="auto" w:sz="4" w:space="0"/>
              <w:right w:val="single" w:color="auto" w:sz="4" w:space="0"/>
            </w:tcBorders>
            <w:vAlign w:val="center"/>
          </w:tcPr>
          <w:p>
            <w:pPr>
              <w:pStyle w:val="15"/>
            </w:pPr>
            <w:r>
              <w:rPr>
                <w:rFonts w:hint="eastAsia"/>
              </w:rPr>
              <w:t>Microsoft Office、WPS</w:t>
            </w:r>
          </w:p>
        </w:tc>
        <w:tc>
          <w:tcPr>
            <w:tcW w:w="2696" w:type="dxa"/>
            <w:tcBorders>
              <w:top w:val="nil"/>
              <w:left w:val="nil"/>
              <w:bottom w:val="single" w:color="auto" w:sz="4" w:space="0"/>
              <w:right w:val="single" w:color="auto" w:sz="4" w:space="0"/>
            </w:tcBorders>
            <w:vAlign w:val="center"/>
          </w:tcPr>
          <w:p>
            <w:pPr>
              <w:pStyle w:val="15"/>
            </w:pPr>
            <w:r>
              <w:rPr>
                <w:rFonts w:hint="eastAsia"/>
              </w:rPr>
              <w:t>文档编辑工具</w:t>
            </w:r>
          </w:p>
        </w:tc>
      </w:tr>
      <w:tr>
        <w:tblPrEx>
          <w:tblCellMar>
            <w:top w:w="0" w:type="dxa"/>
            <w:left w:w="108" w:type="dxa"/>
            <w:bottom w:w="0" w:type="dxa"/>
            <w:right w:w="108" w:type="dxa"/>
          </w:tblCellMar>
        </w:tblPrEx>
        <w:trPr>
          <w:trHeight w:val="454" w:hRule="atLeast"/>
          <w:jc w:val="center"/>
        </w:trPr>
        <w:tc>
          <w:tcPr>
            <w:tcW w:w="971" w:type="dxa"/>
            <w:tcBorders>
              <w:top w:val="nil"/>
              <w:left w:val="single" w:color="auto" w:sz="4" w:space="0"/>
              <w:bottom w:val="single" w:color="auto" w:sz="4" w:space="0"/>
              <w:right w:val="single" w:color="auto" w:sz="4" w:space="0"/>
            </w:tcBorders>
            <w:vAlign w:val="center"/>
          </w:tcPr>
          <w:p>
            <w:pPr>
              <w:pStyle w:val="15"/>
            </w:pPr>
            <w:r>
              <w:rPr>
                <w:rFonts w:hint="eastAsia"/>
              </w:rPr>
              <w:t>3</w:t>
            </w:r>
          </w:p>
        </w:tc>
        <w:tc>
          <w:tcPr>
            <w:tcW w:w="5408" w:type="dxa"/>
            <w:tcBorders>
              <w:top w:val="nil"/>
              <w:left w:val="nil"/>
              <w:bottom w:val="single" w:color="auto" w:sz="4" w:space="0"/>
              <w:right w:val="single" w:color="auto" w:sz="4" w:space="0"/>
            </w:tcBorders>
            <w:vAlign w:val="center"/>
          </w:tcPr>
          <w:p>
            <w:pPr>
              <w:pStyle w:val="15"/>
            </w:pPr>
            <w:r>
              <w:rPr>
                <w:rFonts w:hint="eastAsia"/>
              </w:rPr>
              <w:t>IAR、Keil、Arduino IDE、STM</w:t>
            </w:r>
            <w:r>
              <w:t>32</w:t>
            </w:r>
            <w:r>
              <w:rPr>
                <w:rFonts w:hint="eastAsia"/>
              </w:rPr>
              <w:t>Cub</w:t>
            </w:r>
            <w:r>
              <w:t>eMax</w:t>
            </w:r>
          </w:p>
        </w:tc>
        <w:tc>
          <w:tcPr>
            <w:tcW w:w="2696" w:type="dxa"/>
            <w:tcBorders>
              <w:top w:val="nil"/>
              <w:left w:val="nil"/>
              <w:bottom w:val="single" w:color="auto" w:sz="4" w:space="0"/>
              <w:right w:val="single" w:color="auto" w:sz="4" w:space="0"/>
            </w:tcBorders>
            <w:vAlign w:val="center"/>
          </w:tcPr>
          <w:p>
            <w:pPr>
              <w:pStyle w:val="15"/>
            </w:pPr>
            <w:r>
              <w:rPr>
                <w:rFonts w:hint="eastAsia"/>
              </w:rPr>
              <w:t>微控制器开发环境</w:t>
            </w:r>
          </w:p>
        </w:tc>
      </w:tr>
      <w:tr>
        <w:tblPrEx>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4</w:t>
            </w:r>
          </w:p>
        </w:tc>
        <w:tc>
          <w:tcPr>
            <w:tcW w:w="5408"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UartAssist、NetAssist</w:t>
            </w:r>
          </w:p>
        </w:tc>
        <w:tc>
          <w:tcPr>
            <w:tcW w:w="2696"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串口调试助手</w:t>
            </w:r>
          </w:p>
        </w:tc>
      </w:tr>
      <w:tr>
        <w:tblPrEx>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5</w:t>
            </w:r>
          </w:p>
        </w:tc>
        <w:tc>
          <w:tcPr>
            <w:tcW w:w="5408"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EclipseIDE、Android Studio、JDK、SDK等</w:t>
            </w:r>
          </w:p>
        </w:tc>
        <w:tc>
          <w:tcPr>
            <w:tcW w:w="2696"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安卓应用开发环境</w:t>
            </w:r>
          </w:p>
        </w:tc>
      </w:tr>
    </w:tbl>
    <w:p>
      <w:pPr>
        <w:spacing w:line="560" w:lineRule="exact"/>
        <w:ind w:firstLine="482"/>
        <w:jc w:val="center"/>
        <w:rPr>
          <w:rFonts w:hAnsi="仿宋_GB2312" w:cs="仿宋_GB2312"/>
          <w:bCs/>
          <w:szCs w:val="28"/>
        </w:rPr>
      </w:pPr>
      <w:r>
        <w:rPr>
          <w:rFonts w:hint="eastAsia" w:hAnsi="仿宋_GB2312" w:cs="仿宋_GB2312"/>
          <w:b/>
          <w:sz w:val="24"/>
          <w:szCs w:val="24"/>
        </w:rPr>
        <w:t>表6 禁止携带设备表（包含但不限于）</w:t>
      </w:r>
    </w:p>
    <w:tbl>
      <w:tblPr>
        <w:tblStyle w:val="10"/>
        <w:tblW w:w="9076" w:type="dxa"/>
        <w:jc w:val="center"/>
        <w:tblLayout w:type="fixed"/>
        <w:tblCellMar>
          <w:top w:w="0" w:type="dxa"/>
          <w:left w:w="108" w:type="dxa"/>
          <w:bottom w:w="0" w:type="dxa"/>
          <w:right w:w="108" w:type="dxa"/>
        </w:tblCellMar>
      </w:tblPr>
      <w:tblGrid>
        <w:gridCol w:w="755"/>
        <w:gridCol w:w="2015"/>
        <w:gridCol w:w="6306"/>
      </w:tblGrid>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rPr>
                <w:rFonts w:hint="eastAsia" w:ascii="黑体" w:hAnsi="黑体" w:eastAsia="黑体" w:cs="黑体"/>
              </w:rPr>
            </w:pPr>
            <w:r>
              <w:rPr>
                <w:rFonts w:hint="eastAsia" w:ascii="黑体" w:hAnsi="黑体" w:eastAsia="黑体" w:cs="黑体"/>
              </w:rPr>
              <w:t>序号</w:t>
            </w:r>
          </w:p>
        </w:tc>
        <w:tc>
          <w:tcPr>
            <w:tcW w:w="2015" w:type="dxa"/>
            <w:tcBorders>
              <w:top w:val="single" w:color="000000" w:sz="4" w:space="0"/>
              <w:left w:val="nil"/>
              <w:bottom w:val="single" w:color="000000" w:sz="4" w:space="0"/>
              <w:right w:val="single" w:color="000000" w:sz="4" w:space="0"/>
            </w:tcBorders>
            <w:vAlign w:val="center"/>
          </w:tcPr>
          <w:p>
            <w:pPr>
              <w:pStyle w:val="15"/>
              <w:jc w:val="center"/>
              <w:rPr>
                <w:rFonts w:hint="eastAsia" w:ascii="黑体" w:hAnsi="黑体" w:eastAsia="黑体" w:cs="黑体"/>
              </w:rPr>
            </w:pPr>
            <w:r>
              <w:rPr>
                <w:rFonts w:hint="eastAsia" w:ascii="黑体" w:hAnsi="黑体" w:eastAsia="黑体" w:cs="黑体"/>
              </w:rPr>
              <w:t>仪器设备</w:t>
            </w:r>
          </w:p>
        </w:tc>
        <w:tc>
          <w:tcPr>
            <w:tcW w:w="6306" w:type="dxa"/>
            <w:tcBorders>
              <w:top w:val="single" w:color="000000" w:sz="4" w:space="0"/>
              <w:left w:val="nil"/>
              <w:bottom w:val="single" w:color="000000" w:sz="4" w:space="0"/>
              <w:right w:val="single" w:color="000000" w:sz="4" w:space="0"/>
            </w:tcBorders>
            <w:vAlign w:val="center"/>
          </w:tcPr>
          <w:p>
            <w:pPr>
              <w:pStyle w:val="15"/>
              <w:jc w:val="center"/>
              <w:rPr>
                <w:rFonts w:hint="eastAsia" w:ascii="黑体" w:hAnsi="黑体" w:eastAsia="黑体" w:cs="黑体"/>
              </w:rPr>
            </w:pPr>
            <w:r>
              <w:rPr>
                <w:rFonts w:hint="eastAsia" w:ascii="黑体" w:hAnsi="黑体" w:eastAsia="黑体" w:cs="黑体"/>
              </w:rPr>
              <w:t>备  注</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1</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CC2530下载设备</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能修改CC2530固件程序的设备</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2</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ZigBee节点模块</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包括竞赛平台上标配ZigBee模块等</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3</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信号放大器</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无</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4</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无线路由器</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竞赛平台上自带的WiFi模块除外</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5</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元器件</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无</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6</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可移动存储设备</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无</w:t>
            </w:r>
          </w:p>
        </w:tc>
      </w:tr>
    </w:tbl>
    <w:p>
      <w:pPr>
        <w:pStyle w:val="13"/>
        <w:ind w:firstLine="600" w:firstLineChars="200"/>
        <w:rPr>
          <w:rFonts w:hint="default"/>
          <w:lang w:val="en-US" w:eastAsia="zh-CN"/>
        </w:rPr>
      </w:pPr>
      <w:r>
        <w:rPr>
          <w:rFonts w:hint="eastAsia"/>
          <w:lang w:val="en-US" w:eastAsia="zh-CN"/>
        </w:rPr>
        <w:t>十二</w:t>
      </w:r>
      <w:r>
        <w:rPr>
          <w:rFonts w:hint="eastAsia"/>
        </w:rPr>
        <w:t>、成绩评定</w:t>
      </w:r>
      <w:r>
        <w:rPr>
          <w:rFonts w:hint="eastAsia"/>
          <w:lang w:eastAsia="zh-CN"/>
        </w:rPr>
        <w:t>及</w:t>
      </w:r>
      <w:r>
        <w:rPr>
          <w:rFonts w:hint="eastAsia"/>
          <w:lang w:val="en-US" w:eastAsia="zh-CN"/>
        </w:rPr>
        <w:t>公布</w:t>
      </w:r>
    </w:p>
    <w:p>
      <w:pPr>
        <w:ind w:firstLine="0" w:firstLineChars="0"/>
        <w:jc w:val="center"/>
        <w:rPr>
          <w:rFonts w:hAnsi="仿宋_GB2312" w:cs="仿宋_GB2312"/>
          <w:b/>
          <w:bCs/>
          <w:color w:val="000000"/>
          <w:sz w:val="24"/>
          <w:szCs w:val="24"/>
        </w:rPr>
      </w:pPr>
      <w:bookmarkStart w:id="2" w:name="表7"/>
      <w:r>
        <w:rPr>
          <w:rFonts w:hint="eastAsia" w:hAnsi="仿宋_GB2312" w:cs="仿宋_GB2312"/>
          <w:b/>
          <w:bCs/>
          <w:color w:val="000000"/>
          <w:sz w:val="24"/>
          <w:szCs w:val="24"/>
        </w:rPr>
        <w:t xml:space="preserve">表7 </w:t>
      </w:r>
      <w:bookmarkEnd w:id="2"/>
      <w:r>
        <w:rPr>
          <w:rFonts w:hint="eastAsia" w:hAnsi="仿宋_GB2312" w:cs="仿宋_GB2312"/>
          <w:b/>
          <w:bCs/>
          <w:color w:val="000000"/>
          <w:sz w:val="24"/>
          <w:szCs w:val="24"/>
        </w:rPr>
        <w:t>嵌入式技术应用开发赛项评分表</w:t>
      </w:r>
    </w:p>
    <w:tbl>
      <w:tblPr>
        <w:tblStyle w:val="10"/>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800"/>
        <w:gridCol w:w="528"/>
        <w:gridCol w:w="2974"/>
        <w:gridCol w:w="835"/>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Align w:val="center"/>
          </w:tcPr>
          <w:p>
            <w:pPr>
              <w:pStyle w:val="15"/>
              <w:rPr>
                <w:rFonts w:hint="eastAsia" w:ascii="黑体" w:hAnsi="黑体" w:eastAsia="黑体" w:cs="黑体"/>
              </w:rPr>
            </w:pPr>
            <w:r>
              <w:rPr>
                <w:rFonts w:hint="eastAsia" w:ascii="黑体" w:hAnsi="黑体" w:eastAsia="黑体" w:cs="黑体"/>
              </w:rPr>
              <w:t>评分项目</w:t>
            </w:r>
          </w:p>
        </w:tc>
        <w:tc>
          <w:tcPr>
            <w:tcW w:w="4302" w:type="dxa"/>
            <w:gridSpan w:val="3"/>
            <w:vAlign w:val="center"/>
          </w:tcPr>
          <w:p>
            <w:pPr>
              <w:pStyle w:val="15"/>
              <w:rPr>
                <w:rFonts w:hint="eastAsia" w:ascii="黑体" w:hAnsi="黑体" w:eastAsia="黑体" w:cs="黑体"/>
              </w:rPr>
            </w:pPr>
            <w:r>
              <w:rPr>
                <w:rFonts w:hint="eastAsia" w:ascii="黑体" w:hAnsi="黑体" w:eastAsia="黑体" w:cs="黑体"/>
              </w:rPr>
              <w:t>评分细则/指标</w:t>
            </w:r>
          </w:p>
        </w:tc>
        <w:tc>
          <w:tcPr>
            <w:tcW w:w="835" w:type="dxa"/>
            <w:vAlign w:val="center"/>
          </w:tcPr>
          <w:p>
            <w:pPr>
              <w:pStyle w:val="15"/>
              <w:rPr>
                <w:rFonts w:hint="eastAsia" w:ascii="黑体" w:hAnsi="黑体" w:eastAsia="黑体" w:cs="黑体"/>
              </w:rPr>
            </w:pPr>
            <w:r>
              <w:rPr>
                <w:rFonts w:hint="eastAsia" w:ascii="黑体" w:hAnsi="黑体" w:eastAsia="黑体" w:cs="黑体"/>
              </w:rPr>
              <w:t>分值</w:t>
            </w:r>
          </w:p>
        </w:tc>
        <w:tc>
          <w:tcPr>
            <w:tcW w:w="2672" w:type="dxa"/>
            <w:vAlign w:val="center"/>
          </w:tcPr>
          <w:p>
            <w:pPr>
              <w:pStyle w:val="15"/>
              <w:rPr>
                <w:rFonts w:hint="eastAsia" w:ascii="黑体" w:hAnsi="黑体" w:eastAsia="黑体" w:cs="黑体"/>
              </w:rPr>
            </w:pPr>
            <w:r>
              <w:rPr>
                <w:rFonts w:hint="eastAsia" w:ascii="黑体" w:hAnsi="黑体" w:eastAsia="黑体" w:cs="黑体"/>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restart"/>
            <w:vAlign w:val="center"/>
          </w:tcPr>
          <w:p>
            <w:pPr>
              <w:pStyle w:val="15"/>
            </w:pPr>
            <w:r>
              <w:rPr>
                <w:rFonts w:hint="eastAsia"/>
              </w:rPr>
              <w:t>安全操作规范（5%）</w:t>
            </w:r>
          </w:p>
        </w:tc>
        <w:tc>
          <w:tcPr>
            <w:tcW w:w="4302" w:type="dxa"/>
            <w:gridSpan w:val="3"/>
            <w:vAlign w:val="center"/>
          </w:tcPr>
          <w:p>
            <w:pPr>
              <w:pStyle w:val="15"/>
            </w:pPr>
            <w:r>
              <w:rPr>
                <w:rFonts w:hint="eastAsia"/>
              </w:rPr>
              <w:t>安全用电</w:t>
            </w:r>
          </w:p>
        </w:tc>
        <w:tc>
          <w:tcPr>
            <w:tcW w:w="835" w:type="dxa"/>
            <w:vAlign w:val="center"/>
          </w:tcPr>
          <w:p>
            <w:pPr>
              <w:pStyle w:val="15"/>
            </w:pPr>
            <w:r>
              <w:rPr>
                <w:rFonts w:hint="eastAsia"/>
              </w:rPr>
              <w:t>2</w:t>
            </w:r>
          </w:p>
        </w:tc>
        <w:tc>
          <w:tcPr>
            <w:tcW w:w="2672" w:type="dxa"/>
            <w:vMerge w:val="restart"/>
            <w:vAlign w:val="center"/>
          </w:tcPr>
          <w:p>
            <w:pPr>
              <w:pStyle w:val="15"/>
              <w:rPr>
                <w:rFonts w:hint="eastAsia"/>
              </w:rPr>
            </w:pPr>
          </w:p>
          <w:p>
            <w:pPr>
              <w:pStyle w:val="15"/>
            </w:pPr>
            <w:r>
              <w:rPr>
                <w:rFonts w:hint="eastAsia"/>
              </w:rPr>
              <w:t>过程评分</w:t>
            </w:r>
          </w:p>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环境清洁</w:t>
            </w:r>
          </w:p>
        </w:tc>
        <w:tc>
          <w:tcPr>
            <w:tcW w:w="835" w:type="dxa"/>
            <w:vAlign w:val="center"/>
          </w:tcPr>
          <w:p>
            <w:pPr>
              <w:pStyle w:val="15"/>
            </w:pPr>
            <w:r>
              <w:rPr>
                <w:rFonts w:hint="eastAsia"/>
              </w:rPr>
              <w:t>1</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操作规范</w:t>
            </w:r>
          </w:p>
        </w:tc>
        <w:tc>
          <w:tcPr>
            <w:tcW w:w="835" w:type="dxa"/>
            <w:vAlign w:val="center"/>
          </w:tcPr>
          <w:p>
            <w:pPr>
              <w:pStyle w:val="15"/>
            </w:pPr>
            <w:r>
              <w:rPr>
                <w:rFonts w:hint="eastAsia"/>
              </w:rPr>
              <w:t>2</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restart"/>
            <w:vAlign w:val="center"/>
          </w:tcPr>
          <w:p>
            <w:pPr>
              <w:pStyle w:val="15"/>
            </w:pPr>
            <w:r>
              <w:rPr>
                <w:rFonts w:hint="eastAsia"/>
              </w:rPr>
              <w:t>第一模块</w:t>
            </w:r>
          </w:p>
          <w:p>
            <w:pPr>
              <w:pStyle w:val="15"/>
            </w:pPr>
            <w:r>
              <w:t>（</w:t>
            </w:r>
            <w:r>
              <w:rPr>
                <w:rFonts w:hint="eastAsia"/>
              </w:rPr>
              <w:t>嵌入式系统硬件制作与驱动开发</w:t>
            </w:r>
            <w:r>
              <w:t>）</w:t>
            </w:r>
            <w:r>
              <w:rPr>
                <w:rFonts w:hint="eastAsia"/>
              </w:rPr>
              <w:t>（</w:t>
            </w:r>
            <w:r>
              <w:rPr>
                <w:rFonts w:hint="eastAsia"/>
                <w:lang w:val="en-US" w:eastAsia="zh-CN"/>
              </w:rPr>
              <w:t>4</w:t>
            </w:r>
            <w:r>
              <w:t>0</w:t>
            </w:r>
            <w:r>
              <w:rPr>
                <w:rFonts w:hint="eastAsia"/>
              </w:rPr>
              <w:t>%）</w:t>
            </w:r>
          </w:p>
        </w:tc>
        <w:tc>
          <w:tcPr>
            <w:tcW w:w="1328" w:type="dxa"/>
            <w:gridSpan w:val="2"/>
            <w:vMerge w:val="restart"/>
            <w:vAlign w:val="center"/>
          </w:tcPr>
          <w:p>
            <w:pPr>
              <w:pStyle w:val="15"/>
            </w:pPr>
            <w:r>
              <w:rPr>
                <w:rFonts w:hint="eastAsia"/>
              </w:rPr>
              <w:t>功能电路焊接工艺（1</w:t>
            </w:r>
            <w:r>
              <w:rPr>
                <w:rFonts w:hint="eastAsia"/>
                <w:lang w:val="en-US" w:eastAsia="zh-CN"/>
              </w:rPr>
              <w:t>4</w:t>
            </w:r>
            <w:r>
              <w:rPr>
                <w:rFonts w:hint="eastAsia"/>
              </w:rPr>
              <w:t>%）</w:t>
            </w:r>
          </w:p>
        </w:tc>
        <w:tc>
          <w:tcPr>
            <w:tcW w:w="2974" w:type="dxa"/>
            <w:vAlign w:val="center"/>
          </w:tcPr>
          <w:p>
            <w:pPr>
              <w:pStyle w:val="15"/>
            </w:pPr>
            <w:r>
              <w:rPr>
                <w:rFonts w:hint="eastAsia"/>
              </w:rPr>
              <w:t>元器件摆放</w:t>
            </w:r>
          </w:p>
        </w:tc>
        <w:tc>
          <w:tcPr>
            <w:tcW w:w="835" w:type="dxa"/>
            <w:vAlign w:val="center"/>
          </w:tcPr>
          <w:p>
            <w:pPr>
              <w:pStyle w:val="15"/>
            </w:pPr>
            <w:r>
              <w:rPr>
                <w:rFonts w:hint="eastAsia"/>
              </w:rPr>
              <w:t>2</w:t>
            </w:r>
          </w:p>
        </w:tc>
        <w:tc>
          <w:tcPr>
            <w:tcW w:w="2672" w:type="dxa"/>
            <w:vMerge w:val="restart"/>
            <w:vAlign w:val="center"/>
          </w:tcPr>
          <w:p>
            <w:pPr>
              <w:pStyle w:val="15"/>
              <w:rPr>
                <w:rFonts w:hint="eastAsia"/>
              </w:rPr>
            </w:pPr>
          </w:p>
          <w:p>
            <w:pPr>
              <w:pStyle w:val="15"/>
            </w:pPr>
            <w:r>
              <w:rPr>
                <w:rFonts w:hint="eastAsia"/>
              </w:rPr>
              <w:t>结果评分</w:t>
            </w:r>
          </w:p>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焊点质量</w:t>
            </w:r>
          </w:p>
        </w:tc>
        <w:tc>
          <w:tcPr>
            <w:tcW w:w="835" w:type="dxa"/>
            <w:vAlign w:val="center"/>
          </w:tcPr>
          <w:p>
            <w:pPr>
              <w:pStyle w:val="15"/>
              <w:rPr>
                <w:rFonts w:hint="eastAsia" w:eastAsia="仿宋_GB2312"/>
                <w:lang w:eastAsia="zh-CN"/>
              </w:rPr>
            </w:pPr>
            <w:r>
              <w:rPr>
                <w:rFonts w:hint="eastAsia"/>
                <w:lang w:val="en-US" w:eastAsia="zh-CN"/>
              </w:rPr>
              <w:t>3</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板面清洁</w:t>
            </w:r>
          </w:p>
        </w:tc>
        <w:tc>
          <w:tcPr>
            <w:tcW w:w="835" w:type="dxa"/>
            <w:vAlign w:val="center"/>
          </w:tcPr>
          <w:p>
            <w:pPr>
              <w:pStyle w:val="15"/>
              <w:rPr>
                <w:rFonts w:hint="eastAsia" w:eastAsia="仿宋_GB2312"/>
                <w:lang w:eastAsia="zh-CN"/>
              </w:rPr>
            </w:pPr>
            <w:r>
              <w:rPr>
                <w:rFonts w:hint="eastAsia"/>
                <w:lang w:val="en-US" w:eastAsia="zh-CN"/>
              </w:rPr>
              <w:t>3</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焊接完成度</w:t>
            </w:r>
          </w:p>
        </w:tc>
        <w:tc>
          <w:tcPr>
            <w:tcW w:w="835" w:type="dxa"/>
            <w:vAlign w:val="center"/>
          </w:tcPr>
          <w:p>
            <w:pPr>
              <w:pStyle w:val="15"/>
              <w:rPr>
                <w:rFonts w:hint="eastAsia" w:eastAsia="仿宋_GB2312"/>
                <w:lang w:eastAsia="zh-CN"/>
              </w:rPr>
            </w:pPr>
            <w:r>
              <w:rPr>
                <w:rFonts w:hint="eastAsia"/>
                <w:lang w:val="en-US" w:eastAsia="zh-CN"/>
              </w:rPr>
              <w:t>6</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restart"/>
            <w:vAlign w:val="center"/>
          </w:tcPr>
          <w:p>
            <w:pPr>
              <w:pStyle w:val="15"/>
            </w:pPr>
            <w:bookmarkStart w:id="3" w:name="_Hlk66638014"/>
            <w:r>
              <w:rPr>
                <w:rFonts w:hint="eastAsia"/>
              </w:rPr>
              <w:t>嵌入式系统驱动开发</w:t>
            </w:r>
            <w:bookmarkEnd w:id="3"/>
            <w:r>
              <w:rPr>
                <w:rFonts w:hint="eastAsia"/>
              </w:rPr>
              <w:t>（</w:t>
            </w:r>
            <w:r>
              <w:rPr>
                <w:rFonts w:hint="eastAsia"/>
                <w:lang w:val="en-US" w:eastAsia="zh-CN"/>
              </w:rPr>
              <w:t>26</w:t>
            </w:r>
            <w:r>
              <w:rPr>
                <w:rFonts w:hint="eastAsia"/>
              </w:rPr>
              <w:t>%）</w:t>
            </w:r>
          </w:p>
        </w:tc>
        <w:tc>
          <w:tcPr>
            <w:tcW w:w="2974" w:type="dxa"/>
            <w:vAlign w:val="center"/>
          </w:tcPr>
          <w:p>
            <w:pPr>
              <w:pStyle w:val="15"/>
            </w:pPr>
            <w:r>
              <w:rPr>
                <w:rFonts w:hint="eastAsia"/>
              </w:rPr>
              <w:t>基本片上外设驱动开发</w:t>
            </w:r>
          </w:p>
        </w:tc>
        <w:tc>
          <w:tcPr>
            <w:tcW w:w="835" w:type="dxa"/>
            <w:vAlign w:val="center"/>
          </w:tcPr>
          <w:p>
            <w:pPr>
              <w:pStyle w:val="15"/>
              <w:rPr>
                <w:rFonts w:hint="eastAsia" w:eastAsia="仿宋_GB2312"/>
                <w:lang w:eastAsia="zh-CN"/>
              </w:rPr>
            </w:pPr>
            <w:r>
              <w:rPr>
                <w:rFonts w:hint="eastAsia"/>
                <w:lang w:val="en-US" w:eastAsia="zh-CN"/>
              </w:rPr>
              <w:t>7</w:t>
            </w:r>
          </w:p>
        </w:tc>
        <w:tc>
          <w:tcPr>
            <w:tcW w:w="2672" w:type="dxa"/>
            <w:vMerge w:val="restart"/>
            <w:vAlign w:val="center"/>
          </w:tcPr>
          <w:p>
            <w:pPr>
              <w:pStyle w:val="15"/>
            </w:pPr>
            <w:r>
              <w:rPr>
                <w:rFonts w:hint="eastAsia"/>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高级片上外设驱动开发</w:t>
            </w:r>
          </w:p>
        </w:tc>
        <w:tc>
          <w:tcPr>
            <w:tcW w:w="835" w:type="dxa"/>
            <w:vAlign w:val="center"/>
          </w:tcPr>
          <w:p>
            <w:pPr>
              <w:pStyle w:val="15"/>
              <w:rPr>
                <w:rFonts w:hint="default" w:eastAsia="仿宋_GB2312"/>
                <w:lang w:val="en-US" w:eastAsia="zh-CN"/>
              </w:rPr>
            </w:pPr>
            <w:r>
              <w:rPr>
                <w:rFonts w:hint="eastAsia"/>
                <w:lang w:val="en-US" w:eastAsia="zh-CN"/>
              </w:rPr>
              <w:t>10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总线应用驱动开发</w:t>
            </w:r>
          </w:p>
        </w:tc>
        <w:tc>
          <w:tcPr>
            <w:tcW w:w="835" w:type="dxa"/>
            <w:vAlign w:val="center"/>
          </w:tcPr>
          <w:p>
            <w:pPr>
              <w:pStyle w:val="15"/>
              <w:rPr>
                <w:rFonts w:hint="eastAsia" w:eastAsia="仿宋_GB2312"/>
                <w:lang w:eastAsia="zh-CN"/>
              </w:rPr>
            </w:pPr>
            <w:r>
              <w:rPr>
                <w:rFonts w:hint="eastAsia"/>
                <w:lang w:val="en-US" w:eastAsia="zh-CN"/>
              </w:rPr>
              <w:t>9</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restart"/>
            <w:vAlign w:val="center"/>
          </w:tcPr>
          <w:p>
            <w:pPr>
              <w:pStyle w:val="15"/>
            </w:pPr>
            <w:r>
              <w:rPr>
                <w:rFonts w:hint="eastAsia"/>
              </w:rPr>
              <w:t>第二模块</w:t>
            </w:r>
          </w:p>
          <w:p>
            <w:pPr>
              <w:pStyle w:val="15"/>
            </w:pPr>
            <w:r>
              <w:rPr>
                <w:rFonts w:hint="eastAsia"/>
              </w:rPr>
              <w:t>（嵌入式应用程序开发</w:t>
            </w:r>
            <w:r>
              <w:rPr>
                <w:rFonts w:hint="eastAsia"/>
                <w:lang w:eastAsia="zh-CN"/>
              </w:rPr>
              <w:t>、</w:t>
            </w:r>
            <w:r>
              <w:rPr>
                <w:rFonts w:hint="eastAsia"/>
              </w:rPr>
              <w:t>嵌入式边缘计算应用开发）</w:t>
            </w:r>
            <w:r>
              <w:t>(</w:t>
            </w:r>
            <w:r>
              <w:rPr>
                <w:rFonts w:hint="eastAsia"/>
                <w:lang w:val="en-US" w:eastAsia="zh-CN"/>
              </w:rPr>
              <w:t>5</w:t>
            </w:r>
            <w:r>
              <w:t>5%)</w:t>
            </w:r>
          </w:p>
          <w:p>
            <w:pPr>
              <w:pStyle w:val="15"/>
            </w:pPr>
          </w:p>
        </w:tc>
        <w:tc>
          <w:tcPr>
            <w:tcW w:w="4302" w:type="dxa"/>
            <w:gridSpan w:val="3"/>
            <w:vAlign w:val="center"/>
          </w:tcPr>
          <w:p>
            <w:pPr>
              <w:pStyle w:val="15"/>
            </w:pPr>
            <w:r>
              <w:rPr>
                <w:rFonts w:hint="eastAsia"/>
              </w:rPr>
              <w:t>传感器应用</w:t>
            </w:r>
          </w:p>
        </w:tc>
        <w:tc>
          <w:tcPr>
            <w:tcW w:w="835" w:type="dxa"/>
            <w:vAlign w:val="center"/>
          </w:tcPr>
          <w:p>
            <w:pPr>
              <w:pStyle w:val="15"/>
              <w:rPr>
                <w:rFonts w:hint="eastAsia" w:eastAsia="仿宋_GB2312"/>
                <w:lang w:eastAsia="zh-CN"/>
              </w:rPr>
            </w:pPr>
            <w:r>
              <w:rPr>
                <w:rFonts w:hint="eastAsia"/>
                <w:lang w:val="en-US" w:eastAsia="zh-CN"/>
              </w:rPr>
              <w:t>4</w:t>
            </w:r>
          </w:p>
        </w:tc>
        <w:tc>
          <w:tcPr>
            <w:tcW w:w="2672" w:type="dxa"/>
            <w:vMerge w:val="restart"/>
            <w:vAlign w:val="center"/>
          </w:tcPr>
          <w:p>
            <w:pPr>
              <w:pStyle w:val="15"/>
              <w:rPr>
                <w:b/>
              </w:rPr>
            </w:pPr>
            <w:r>
              <w:rPr>
                <w:rFonts w:hint="eastAsia"/>
              </w:rPr>
              <w:t>过程评分</w:t>
            </w:r>
          </w:p>
          <w:p>
            <w:pPr>
              <w:pStyle w:val="15"/>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机器视觉应用</w:t>
            </w:r>
          </w:p>
        </w:tc>
        <w:tc>
          <w:tcPr>
            <w:tcW w:w="835" w:type="dxa"/>
            <w:vAlign w:val="center"/>
          </w:tcPr>
          <w:p>
            <w:pPr>
              <w:pStyle w:val="15"/>
              <w:rPr>
                <w:rFonts w:hint="eastAsia" w:eastAsia="仿宋_GB2312"/>
                <w:lang w:eastAsia="zh-CN"/>
              </w:rPr>
            </w:pPr>
            <w:r>
              <w:rPr>
                <w:rFonts w:hint="eastAsia"/>
                <w:lang w:val="en-US" w:eastAsia="zh-CN"/>
              </w:rPr>
              <w:t>4</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红外通信控制</w:t>
            </w:r>
          </w:p>
        </w:tc>
        <w:tc>
          <w:tcPr>
            <w:tcW w:w="835" w:type="dxa"/>
            <w:vAlign w:val="center"/>
          </w:tcPr>
          <w:p>
            <w:pPr>
              <w:pStyle w:val="15"/>
              <w:rPr>
                <w:rFonts w:hint="eastAsia" w:eastAsia="仿宋_GB2312"/>
                <w:lang w:eastAsia="zh-CN"/>
              </w:rPr>
            </w:pPr>
            <w:r>
              <w:rPr>
                <w:rFonts w:hint="eastAsia"/>
                <w:lang w:val="en-US" w:eastAsia="zh-CN"/>
              </w:rPr>
              <w:t>4</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无线组网通信与控制</w:t>
            </w:r>
          </w:p>
        </w:tc>
        <w:tc>
          <w:tcPr>
            <w:tcW w:w="835" w:type="dxa"/>
            <w:vAlign w:val="center"/>
          </w:tcPr>
          <w:p>
            <w:pPr>
              <w:pStyle w:val="15"/>
              <w:rPr>
                <w:rFonts w:hint="eastAsia" w:eastAsia="仿宋_GB2312"/>
                <w:lang w:eastAsia="zh-CN"/>
              </w:rPr>
            </w:pPr>
            <w:r>
              <w:rPr>
                <w:rFonts w:hint="eastAsia"/>
                <w:lang w:val="en-US" w:eastAsia="zh-CN"/>
              </w:rPr>
              <w:t>6</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语音识别及控制</w:t>
            </w:r>
          </w:p>
        </w:tc>
        <w:tc>
          <w:tcPr>
            <w:tcW w:w="835" w:type="dxa"/>
            <w:vAlign w:val="center"/>
          </w:tcPr>
          <w:p>
            <w:pPr>
              <w:pStyle w:val="15"/>
              <w:rPr>
                <w:rFonts w:hint="eastAsia" w:eastAsia="仿宋_GB2312"/>
                <w:lang w:eastAsia="zh-CN"/>
              </w:rPr>
            </w:pPr>
            <w:r>
              <w:rPr>
                <w:rFonts w:hint="eastAsia"/>
                <w:lang w:val="en-US" w:eastAsia="zh-CN"/>
              </w:rPr>
              <w:t>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RFID应用</w:t>
            </w:r>
          </w:p>
        </w:tc>
        <w:tc>
          <w:tcPr>
            <w:tcW w:w="835" w:type="dxa"/>
            <w:vAlign w:val="center"/>
          </w:tcPr>
          <w:p>
            <w:pPr>
              <w:pStyle w:val="15"/>
              <w:rPr>
                <w:rFonts w:hint="eastAsia" w:eastAsia="仿宋_GB2312"/>
                <w:lang w:eastAsia="zh-CN"/>
              </w:rPr>
            </w:pPr>
            <w:r>
              <w:rPr>
                <w:rFonts w:hint="eastAsia"/>
                <w:lang w:val="en-US" w:eastAsia="zh-CN"/>
              </w:rPr>
              <w:t>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行进及动作控制</w:t>
            </w:r>
          </w:p>
        </w:tc>
        <w:tc>
          <w:tcPr>
            <w:tcW w:w="835" w:type="dxa"/>
            <w:vAlign w:val="center"/>
          </w:tcPr>
          <w:p>
            <w:pPr>
              <w:pStyle w:val="15"/>
            </w:pPr>
            <w:r>
              <w:t>11</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图像采集与识别</w:t>
            </w:r>
          </w:p>
        </w:tc>
        <w:tc>
          <w:tcPr>
            <w:tcW w:w="835" w:type="dxa"/>
            <w:vAlign w:val="center"/>
          </w:tcPr>
          <w:p>
            <w:pPr>
              <w:pStyle w:val="15"/>
            </w:pPr>
            <w:r>
              <w:t>11</w:t>
            </w:r>
          </w:p>
        </w:tc>
        <w:tc>
          <w:tcPr>
            <w:tcW w:w="2672" w:type="dxa"/>
            <w:vMerge w:val="continue"/>
            <w:vAlign w:val="center"/>
          </w:tcPr>
          <w:p>
            <w:pPr>
              <w:pStyle w:val="15"/>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算法编程与应用</w:t>
            </w:r>
          </w:p>
        </w:tc>
        <w:tc>
          <w:tcPr>
            <w:tcW w:w="835" w:type="dxa"/>
            <w:vAlign w:val="center"/>
          </w:tcPr>
          <w:p>
            <w:pPr>
              <w:pStyle w:val="15"/>
              <w:rPr>
                <w:rFonts w:hint="eastAsia" w:eastAsia="仿宋_GB2312"/>
                <w:lang w:eastAsia="zh-CN"/>
              </w:rPr>
            </w:pPr>
            <w:r>
              <w:rPr>
                <w:rFonts w:hint="eastAsia"/>
                <w:lang w:val="en-US" w:eastAsia="zh-CN"/>
              </w:rPr>
              <w:t>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restart"/>
            <w:vAlign w:val="center"/>
          </w:tcPr>
          <w:p>
            <w:pPr>
              <w:pStyle w:val="15"/>
            </w:pPr>
            <w:r>
              <w:rPr>
                <w:rFonts w:hint="eastAsia"/>
              </w:rPr>
              <w:t>扣分项</w:t>
            </w:r>
          </w:p>
        </w:tc>
        <w:tc>
          <w:tcPr>
            <w:tcW w:w="4302" w:type="dxa"/>
            <w:gridSpan w:val="3"/>
            <w:vAlign w:val="center"/>
          </w:tcPr>
          <w:p>
            <w:pPr>
              <w:pStyle w:val="15"/>
            </w:pPr>
            <w:r>
              <w:rPr>
                <w:rFonts w:hint="eastAsia"/>
              </w:rPr>
              <w:t>超过规定时间补领元器件（每个）</w:t>
            </w:r>
          </w:p>
        </w:tc>
        <w:tc>
          <w:tcPr>
            <w:tcW w:w="835" w:type="dxa"/>
            <w:vAlign w:val="center"/>
          </w:tcPr>
          <w:p>
            <w:pPr>
              <w:pStyle w:val="15"/>
            </w:pPr>
            <w:r>
              <w:rPr>
                <w:rFonts w:hint="eastAsia"/>
              </w:rPr>
              <w:t>1</w:t>
            </w:r>
          </w:p>
        </w:tc>
        <w:tc>
          <w:tcPr>
            <w:tcW w:w="2672" w:type="dxa"/>
            <w:vMerge w:val="restart"/>
            <w:vAlign w:val="center"/>
          </w:tcPr>
          <w:p>
            <w:pPr>
              <w:pStyle w:val="15"/>
              <w:rPr>
                <w:rFonts w:hint="eastAsia"/>
              </w:rPr>
            </w:pPr>
          </w:p>
          <w:p>
            <w:pPr>
              <w:pStyle w:val="15"/>
            </w:pPr>
            <w:r>
              <w:rPr>
                <w:rFonts w:hint="eastAsia"/>
              </w:rPr>
              <w:t>过程评分</w:t>
            </w:r>
          </w:p>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申请使用功能电路板（限1次）</w:t>
            </w:r>
          </w:p>
        </w:tc>
        <w:tc>
          <w:tcPr>
            <w:tcW w:w="835" w:type="dxa"/>
            <w:vAlign w:val="center"/>
          </w:tcPr>
          <w:p>
            <w:pPr>
              <w:pStyle w:val="15"/>
            </w:pPr>
            <w:r>
              <w:rPr>
                <w:rFonts w:hint="eastAsia"/>
              </w:rPr>
              <w:t>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申请更换竞赛平台（限1次）</w:t>
            </w:r>
          </w:p>
        </w:tc>
        <w:tc>
          <w:tcPr>
            <w:tcW w:w="835" w:type="dxa"/>
            <w:vAlign w:val="center"/>
          </w:tcPr>
          <w:p>
            <w:pPr>
              <w:pStyle w:val="15"/>
            </w:pPr>
            <w:r>
              <w:rPr>
                <w:rFonts w:hint="eastAsia"/>
              </w:rPr>
              <w:t>15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restart"/>
            <w:vAlign w:val="center"/>
          </w:tcPr>
          <w:p>
            <w:pPr>
              <w:pStyle w:val="15"/>
            </w:pPr>
            <w:r>
              <w:rPr>
                <w:rFonts w:hint="eastAsia"/>
              </w:rPr>
              <w:t>违纪</w:t>
            </w:r>
          </w:p>
          <w:p>
            <w:pPr>
              <w:pStyle w:val="15"/>
            </w:pPr>
            <w:r>
              <w:rPr>
                <w:rFonts w:hint="eastAsia"/>
              </w:rPr>
              <w:t>扣分</w:t>
            </w:r>
          </w:p>
        </w:tc>
        <w:tc>
          <w:tcPr>
            <w:tcW w:w="3502" w:type="dxa"/>
            <w:gridSpan w:val="2"/>
            <w:vAlign w:val="center"/>
          </w:tcPr>
          <w:p>
            <w:pPr>
              <w:pStyle w:val="15"/>
            </w:pPr>
            <w:r>
              <w:rPr>
                <w:rFonts w:hint="eastAsia"/>
              </w:rPr>
              <w:t>干扰、影响其他参赛队竞赛</w:t>
            </w:r>
          </w:p>
        </w:tc>
        <w:tc>
          <w:tcPr>
            <w:tcW w:w="835" w:type="dxa"/>
            <w:vAlign w:val="center"/>
          </w:tcPr>
          <w:p>
            <w:pPr>
              <w:pStyle w:val="15"/>
            </w:pPr>
            <w:r>
              <w:rPr>
                <w:rFonts w:hint="eastAsia"/>
              </w:rPr>
              <w:t>5-20</w:t>
            </w:r>
          </w:p>
        </w:tc>
        <w:tc>
          <w:tcPr>
            <w:tcW w:w="2672" w:type="dxa"/>
            <w:vMerge w:val="restart"/>
            <w:vAlign w:val="center"/>
          </w:tcPr>
          <w:p>
            <w:pPr>
              <w:pStyle w:val="15"/>
            </w:pPr>
            <w:r>
              <w:rPr>
                <w:rFonts w:hint="eastAsia"/>
              </w:rPr>
              <w:t xml:space="preserve">裁判长将违纪等级分为一、二、三级；分别扣除5、10、20分。情节特别恶劣，可取消成绩。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continue"/>
            <w:vAlign w:val="center"/>
          </w:tcPr>
          <w:p>
            <w:pPr>
              <w:pStyle w:val="15"/>
            </w:pPr>
          </w:p>
        </w:tc>
        <w:tc>
          <w:tcPr>
            <w:tcW w:w="3502" w:type="dxa"/>
            <w:gridSpan w:val="2"/>
            <w:vAlign w:val="center"/>
          </w:tcPr>
          <w:p>
            <w:pPr>
              <w:pStyle w:val="15"/>
            </w:pPr>
            <w:r>
              <w:rPr>
                <w:rFonts w:hint="eastAsia"/>
              </w:rPr>
              <w:t>竞赛操作不当造成设备损坏或事故</w:t>
            </w:r>
          </w:p>
        </w:tc>
        <w:tc>
          <w:tcPr>
            <w:tcW w:w="835" w:type="dxa"/>
            <w:vAlign w:val="center"/>
          </w:tcPr>
          <w:p>
            <w:pPr>
              <w:pStyle w:val="15"/>
            </w:pPr>
            <w:r>
              <w:rPr>
                <w:rFonts w:hint="eastAsia"/>
              </w:rPr>
              <w:t>5-20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continue"/>
            <w:vAlign w:val="center"/>
          </w:tcPr>
          <w:p>
            <w:pPr>
              <w:pStyle w:val="15"/>
            </w:pPr>
          </w:p>
        </w:tc>
        <w:tc>
          <w:tcPr>
            <w:tcW w:w="3502" w:type="dxa"/>
            <w:gridSpan w:val="2"/>
            <w:vAlign w:val="center"/>
          </w:tcPr>
          <w:p>
            <w:pPr>
              <w:pStyle w:val="15"/>
            </w:pPr>
            <w:r>
              <w:rPr>
                <w:rFonts w:hint="eastAsia"/>
              </w:rPr>
              <w:t>选手携带禁带物品</w:t>
            </w:r>
          </w:p>
        </w:tc>
        <w:tc>
          <w:tcPr>
            <w:tcW w:w="835" w:type="dxa"/>
            <w:vAlign w:val="center"/>
          </w:tcPr>
          <w:p>
            <w:pPr>
              <w:pStyle w:val="15"/>
            </w:pPr>
            <w:r>
              <w:rPr>
                <w:rFonts w:hint="eastAsia"/>
              </w:rPr>
              <w:t>5-20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continue"/>
            <w:vAlign w:val="center"/>
          </w:tcPr>
          <w:p>
            <w:pPr>
              <w:pStyle w:val="15"/>
            </w:pPr>
          </w:p>
        </w:tc>
        <w:tc>
          <w:tcPr>
            <w:tcW w:w="3502" w:type="dxa"/>
            <w:gridSpan w:val="2"/>
            <w:vAlign w:val="center"/>
          </w:tcPr>
          <w:p>
            <w:pPr>
              <w:pStyle w:val="15"/>
            </w:pPr>
            <w:r>
              <w:rPr>
                <w:rFonts w:hint="eastAsia"/>
              </w:rPr>
              <w:t>参赛选手作弊行为</w:t>
            </w:r>
          </w:p>
        </w:tc>
        <w:tc>
          <w:tcPr>
            <w:tcW w:w="835" w:type="dxa"/>
            <w:vAlign w:val="center"/>
          </w:tcPr>
          <w:p>
            <w:pPr>
              <w:pStyle w:val="15"/>
            </w:pPr>
            <w:r>
              <w:rPr>
                <w:rFonts w:hint="eastAsia"/>
              </w:rPr>
              <w:t>5-20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continue"/>
            <w:vAlign w:val="center"/>
          </w:tcPr>
          <w:p>
            <w:pPr>
              <w:pStyle w:val="15"/>
            </w:pPr>
          </w:p>
        </w:tc>
        <w:tc>
          <w:tcPr>
            <w:tcW w:w="3502" w:type="dxa"/>
            <w:gridSpan w:val="2"/>
            <w:vAlign w:val="center"/>
          </w:tcPr>
          <w:p>
            <w:pPr>
              <w:pStyle w:val="15"/>
            </w:pPr>
            <w:r>
              <w:rPr>
                <w:rFonts w:hint="eastAsia"/>
              </w:rPr>
              <w:t>其他违纪情况</w:t>
            </w:r>
          </w:p>
        </w:tc>
        <w:tc>
          <w:tcPr>
            <w:tcW w:w="835" w:type="dxa"/>
            <w:vAlign w:val="center"/>
          </w:tcPr>
          <w:p>
            <w:pPr>
              <w:pStyle w:val="15"/>
            </w:pPr>
            <w:r>
              <w:rPr>
                <w:rFonts w:hint="eastAsia"/>
              </w:rPr>
              <w:t>5-20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Align w:val="center"/>
          </w:tcPr>
          <w:p>
            <w:pPr>
              <w:pStyle w:val="15"/>
            </w:pPr>
            <w:r>
              <w:rPr>
                <w:rFonts w:hint="eastAsia"/>
              </w:rPr>
              <w:t>总  计</w:t>
            </w:r>
          </w:p>
        </w:tc>
        <w:tc>
          <w:tcPr>
            <w:tcW w:w="5137" w:type="dxa"/>
            <w:gridSpan w:val="4"/>
            <w:vAlign w:val="center"/>
          </w:tcPr>
          <w:p>
            <w:pPr>
              <w:pStyle w:val="15"/>
            </w:pPr>
            <w:r>
              <w:rPr>
                <w:rFonts w:hint="eastAsia"/>
              </w:rPr>
              <w:t>100%</w:t>
            </w:r>
          </w:p>
        </w:tc>
        <w:tc>
          <w:tcPr>
            <w:tcW w:w="2672" w:type="dxa"/>
            <w:vAlign w:val="center"/>
          </w:tcPr>
          <w:p>
            <w:pPr>
              <w:pStyle w:val="15"/>
            </w:pPr>
          </w:p>
        </w:tc>
      </w:tr>
    </w:tbl>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（一）竞赛评分严格按照公平、公正、公开、科学、规范的原则。本赛项竞赛结果采用全自动化评分系统，保证了赛项的公平公正。</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（二）参赛队竞赛成绩由赛项裁判组统一评定。采用分步得分、错误不传递、累计总分的计分方式。竞赛名次按照成绩总分从高到低排序。若总成绩相同的按照第二模块成绩排名模块分数高的排名在前。</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（三）第一模块竞赛测评中功能电路焊接工艺评分由评分裁判独立评分，去掉一个最高分和一个最低分后，其余得分的算术平均值作为参赛队伍（选手）的最后得分。</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（四）赛项总成绩满分100分，只对参赛队团体评分，不计个人成绩。</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（五）最终成绩构成</w:t>
      </w:r>
      <w:r>
        <w:rPr>
          <w:rFonts w:hint="eastAsia"/>
          <w:sz w:val="30"/>
          <w:szCs w:val="30"/>
          <w:lang w:eastAsia="zh-CN"/>
        </w:rPr>
        <w:t>，</w:t>
      </w:r>
      <w:r>
        <w:rPr>
          <w:rFonts w:hint="eastAsia"/>
          <w:sz w:val="30"/>
          <w:szCs w:val="30"/>
        </w:rPr>
        <w:t>赛项最终成绩由安全操作规范、嵌入式系统硬件制作与驱动开发、嵌入式应用程序开发和嵌入式边缘计算应用开发</w:t>
      </w:r>
      <w:r>
        <w:rPr>
          <w:rFonts w:hint="eastAsia"/>
          <w:sz w:val="30"/>
          <w:szCs w:val="30"/>
          <w:lang w:val="en-US" w:eastAsia="zh-CN"/>
        </w:rPr>
        <w:t>三</w:t>
      </w:r>
      <w:r>
        <w:rPr>
          <w:rFonts w:hint="eastAsia"/>
          <w:sz w:val="30"/>
          <w:szCs w:val="30"/>
        </w:rPr>
        <w:t>部分成绩求和，并减去扣分项得到。</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（六）在竞赛第二模块（嵌入式应用程序开发及嵌入式边缘计算应用开发）竞赛测评</w:t>
      </w:r>
      <w:r>
        <w:rPr>
          <w:rFonts w:hint="eastAsia" w:hAnsi="仿宋_GB2312" w:cs="仿宋_GB2312"/>
          <w:bCs/>
          <w:sz w:val="30"/>
          <w:szCs w:val="30"/>
        </w:rPr>
        <w:t>分两轮进行，每轮每支参赛队拥有两次启动机会且测试总用时不超过5分钟，</w:t>
      </w:r>
      <w:r>
        <w:rPr>
          <w:rFonts w:hint="eastAsia"/>
          <w:sz w:val="30"/>
          <w:szCs w:val="30"/>
        </w:rPr>
        <w:t>若总用时超出5分钟，则超出时间所获得的成绩无效。</w:t>
      </w:r>
      <w:r>
        <w:rPr>
          <w:rFonts w:hint="eastAsia" w:hAnsi="仿宋_GB2312" w:cs="仿宋_GB2312"/>
          <w:bCs/>
          <w:sz w:val="30"/>
          <w:szCs w:val="30"/>
        </w:rPr>
        <w:t>取两轮成绩中最高成绩为本模块最终成绩。</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（七）在竞赛过程中，参赛选手如有作弊、不服从裁判判决、扰乱赛场秩序等行为，裁判长按照规定（详情见评分</w:t>
      </w:r>
      <w:r>
        <w:rPr>
          <w:sz w:val="30"/>
          <w:szCs w:val="30"/>
        </w:rPr>
        <w:fldChar w:fldCharType="begin"/>
      </w:r>
      <w:r>
        <w:rPr>
          <w:sz w:val="30"/>
          <w:szCs w:val="30"/>
        </w:rPr>
        <w:instrText xml:space="preserve"> </w:instrText>
      </w:r>
      <w:r>
        <w:rPr>
          <w:rFonts w:hint="eastAsia"/>
          <w:sz w:val="30"/>
          <w:szCs w:val="30"/>
        </w:rPr>
        <w:instrText xml:space="preserve">REF 表7 \h</w:instrText>
      </w:r>
      <w:r>
        <w:rPr>
          <w:sz w:val="30"/>
          <w:szCs w:val="30"/>
        </w:rPr>
        <w:instrText xml:space="preserve">  \* MERGEFORMAT </w:instrText>
      </w:r>
      <w:r>
        <w:rPr>
          <w:sz w:val="30"/>
          <w:szCs w:val="30"/>
        </w:rPr>
        <w:fldChar w:fldCharType="separate"/>
      </w:r>
      <w:r>
        <w:rPr>
          <w:rFonts w:hint="eastAsia"/>
          <w:sz w:val="30"/>
          <w:szCs w:val="30"/>
        </w:rPr>
        <w:t>表</w:t>
      </w:r>
      <w:r>
        <w:rPr>
          <w:sz w:val="30"/>
          <w:szCs w:val="30"/>
        </w:rPr>
        <w:t xml:space="preserve">7 </w:t>
      </w:r>
      <w:r>
        <w:rPr>
          <w:sz w:val="30"/>
          <w:szCs w:val="30"/>
        </w:rPr>
        <w:fldChar w:fldCharType="end"/>
      </w:r>
      <w:r>
        <w:rPr>
          <w:rFonts w:hint="eastAsia"/>
          <w:sz w:val="30"/>
          <w:szCs w:val="30"/>
        </w:rPr>
        <w:t>中违纪情况说明）扣减相应分数。情节严重的取消竞赛资格，竞赛成绩记为零分。</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（八）竞赛成绩经复核无误后，由裁判</w:t>
      </w:r>
      <w:r>
        <w:rPr>
          <w:rFonts w:hint="eastAsia"/>
          <w:sz w:val="30"/>
          <w:szCs w:val="30"/>
          <w:lang w:eastAsia="zh-CN"/>
        </w:rPr>
        <w:t>组</w:t>
      </w:r>
      <w:r>
        <w:rPr>
          <w:rFonts w:hint="eastAsia"/>
          <w:sz w:val="30"/>
          <w:szCs w:val="30"/>
          <w:lang w:val="en-US" w:eastAsia="zh-CN"/>
        </w:rPr>
        <w:t>成员</w:t>
      </w:r>
      <w:r>
        <w:rPr>
          <w:rFonts w:hint="eastAsia"/>
          <w:sz w:val="30"/>
          <w:szCs w:val="30"/>
        </w:rPr>
        <w:t>审核签字后确定。若有异议，经过规定程序仲裁后，按照仲裁结果确定竞赛成绩。</w:t>
      </w:r>
    </w:p>
    <w:p>
      <w:pPr>
        <w:pageBreakBefore w:val="0"/>
        <w:widowControl w:val="0"/>
        <w:kinsoku/>
        <w:wordWrap/>
        <w:overflowPunct/>
        <w:topLinePunct w:val="0"/>
        <w:bidi w:val="0"/>
        <w:adjustRightInd/>
        <w:snapToGrid/>
        <w:spacing w:line="560" w:lineRule="exact"/>
        <w:ind w:firstLine="560"/>
        <w:textAlignment w:val="auto"/>
        <w:rPr>
          <w:rFonts w:hint="eastAsia"/>
        </w:rPr>
      </w:pPr>
      <w:r>
        <w:rPr>
          <w:rFonts w:hint="eastAsia"/>
          <w:sz w:val="30"/>
          <w:szCs w:val="30"/>
        </w:rPr>
        <w:t>（九）为保障成绩评判的准确性，监督仲裁组对赛项总成绩排名前30%的所有参赛队伍的成绩进行复核；对其余成绩进行抽检复核，抽检覆盖率不低于15%。监督仲裁组需将复检中发现的错误以书面方式及时告知裁判长，由裁判长更正成绩并签字确认。若复核、抽检错误率超过5%，裁判组需对所有成绩进行复核。</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lang w:val="en-US" w:eastAsia="zh-CN"/>
        </w:rPr>
      </w:pPr>
      <w:r>
        <w:rPr>
          <w:rFonts w:hint="eastAsia"/>
          <w:lang w:val="en-US" w:eastAsia="zh-CN"/>
        </w:rPr>
        <w:t>十三、奖项设定</w:t>
      </w:r>
    </w:p>
    <w:p>
      <w:pPr>
        <w:pageBreakBefore w:val="0"/>
        <w:widowControl w:val="0"/>
        <w:kinsoku/>
        <w:wordWrap/>
        <w:overflowPunct/>
        <w:topLinePunct w:val="0"/>
        <w:bidi w:val="0"/>
        <w:adjustRightInd/>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按照2021年河南省高等职业教育技能大赛文件执行。</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rPr>
      </w:pPr>
      <w:r>
        <w:rPr>
          <w:rFonts w:hint="eastAsia"/>
          <w:lang w:val="en-US" w:eastAsia="zh-CN"/>
        </w:rPr>
        <w:t>十四、赛场预案</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（一）应急处理预案</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lang w:val="en-US"/>
        </w:rPr>
      </w:pPr>
      <w:r>
        <w:rPr>
          <w:rFonts w:hint="eastAsia" w:ascii="仿宋" w:hAnsi="仿宋" w:eastAsia="仿宋" w:cs="仿宋"/>
          <w:sz w:val="30"/>
          <w:szCs w:val="30"/>
          <w:lang w:val="en-US"/>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（二）机动车存取及交通安全预案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1.竞赛期间专人负责赛场处停车场内安全保卫工作，负责对机动车辆的安全疏导和存取，确保秩序正常、安全、稳定。</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2.采取定时、定点、定人负责实行包保负责制，现场配备一定数量的干粉灭火器。</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3.遇紧急或突发事件时，头脑冷静、靠前指挥，会报警的同时会处理各类险情及事故。</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4.保卫、保护好现场，及时联系120 抢救伤员，协助公安机关做好调查及事后处理工作。在赛项指南中提供承办院校联系人方式。</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（三）参赛有关人员休息室安全应急预案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1.竞赛期间专人负责休息室内的安全保卫工作，负责内部秩序巡查、管理，确保其秩序正常、安全稳定，防止非工作人员进入休息室，干扰影响他人休息。</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2.采取定时、定点、定人负责实行包保负责制，现场配备一定数量的干粉灭火器。</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3.遇紧急或突发事件时，头脑冷静、靠前指挥，会报警的同时会处理各类险情及事故。</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4.保卫、保护好现场，及时联系 120 抢救伤员，协助公安机关做好调查及事后处理工作。在赛项指南中提供承办院校联系人方式。</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（四）比赛场馆安全应急预案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1.制定并下发、签署相关协议和规定，检查、督导落实执行情况。</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2.竞赛期间承办院校专人负责比赛场馆内的安全保卫工作，负责内部秩序巡查、管理，确保其秩序正常、安全稳定，防止非工作、比赛人员进入竞赛区，干扰影响他人比赛、工作。</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3.采取定时、定点、定人负责实行包保负责制，现场配备一定数量的干粉灭火器。</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4.遇紧急或突发事件时，头脑冷静、靠前指挥，会报警的同时会处理各类险情及事故，能指导师生迅速逃离危险场地至安全地带。</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5.承办院校保卫、保护好现场，及时联系 120 抢救伤员，协助公安机关做好调查及事后处理工作。在赛项指南中提供承办院校联系人方式。</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（五）宾馆住宿人员安全应急预案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1.要求各参赛队伍人员熟悉所住旅馆地理位置及情况,安全出口标识及位置。如遇自然灾害等突发紧急情况时,迅速报警,并采取相应的措施,进行防护自救逃生。</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2.提示住宿人员保管好个人贵重物品、器材等,防止财物被盗或丢失。</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3.救助报警电话:火警119</w:t>
      </w:r>
      <w:r>
        <w:rPr>
          <w:rFonts w:hint="eastAsia" w:ascii="仿宋" w:hAnsi="仿宋" w:eastAsia="仿宋" w:cs="仿宋"/>
          <w:kern w:val="2"/>
          <w:sz w:val="30"/>
          <w:szCs w:val="30"/>
          <w:lang w:val="en-US" w:bidi="ar-SA"/>
        </w:rPr>
        <w:tab/>
      </w:r>
      <w:r>
        <w:rPr>
          <w:rFonts w:hint="eastAsia" w:ascii="仿宋" w:hAnsi="仿宋" w:eastAsia="仿宋" w:cs="仿宋"/>
          <w:kern w:val="2"/>
          <w:sz w:val="30"/>
          <w:szCs w:val="30"/>
          <w:lang w:val="en-US" w:bidi="ar-SA"/>
        </w:rPr>
        <w:t>匪警:110</w:t>
      </w:r>
      <w:r>
        <w:rPr>
          <w:rFonts w:hint="eastAsia" w:ascii="仿宋" w:hAnsi="仿宋" w:eastAsia="仿宋" w:cs="仿宋"/>
          <w:kern w:val="2"/>
          <w:sz w:val="30"/>
          <w:szCs w:val="30"/>
          <w:lang w:val="en-US" w:bidi="ar-SA"/>
        </w:rPr>
        <w:tab/>
      </w:r>
      <w:r>
        <w:rPr>
          <w:rFonts w:hint="eastAsia" w:ascii="仿宋" w:hAnsi="仿宋" w:eastAsia="仿宋" w:cs="仿宋"/>
          <w:kern w:val="2"/>
          <w:sz w:val="30"/>
          <w:szCs w:val="30"/>
          <w:lang w:val="en-US" w:bidi="ar-SA"/>
        </w:rPr>
        <w:t>急症救护:120。在赛项指南中提供承办院校联系人方式。</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（六）处罚措施</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1.因参赛队伍原因造成重大安全事故的，取消其获奖资格。</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2.参赛队伍有发生重大安全事故隐患，经赛场工作人员提示、警告无效的，可取消其继续比赛的资格。</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3.赛事工作人员违规的，按照相应的制度追究责任。情节恶劣并造成重大安全事故的，由司法机关追究相应法律责任。</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rPr>
      </w:pPr>
      <w:r>
        <w:rPr>
          <w:rFonts w:hint="eastAsia"/>
        </w:rPr>
        <w:t>十</w:t>
      </w:r>
      <w:r>
        <w:rPr>
          <w:rFonts w:hint="eastAsia"/>
          <w:lang w:val="en-US" w:eastAsia="zh-CN"/>
        </w:rPr>
        <w:t>五</w:t>
      </w:r>
      <w:r>
        <w:rPr>
          <w:rFonts w:hint="eastAsia"/>
        </w:rPr>
        <w:t>、竞赛须知</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（一）组队责任</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1.各学校组织代表队时，须安排为参赛选手购买大赛期间的人身意外伤害保险。</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2.各学校代表队组成后，须制定相关管理制度，并对所有选手、指导教师进行安全教育。并按照疫情防控的要求，若发现组队成员有身体异样应及时汇报，不得隐瞒和抱有侥幸心里。</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3.各参赛队伍须加强对参与比赛人员的安全管理，实现与赛场安全管理的对接。</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（二）参赛队须知</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1.以参赛学校为单位报名参赛。不接受跨校组队报名。</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w:t>
      </w:r>
      <w:r>
        <w:rPr>
          <w:rFonts w:hint="eastAsia" w:ascii="仿宋" w:hAnsi="仿宋" w:eastAsia="仿宋" w:cs="仿宋"/>
          <w:kern w:val="2"/>
          <w:sz w:val="30"/>
          <w:szCs w:val="30"/>
          <w:lang w:val="en-US" w:eastAsia="zh-CN" w:bidi="ar-SA"/>
        </w:rPr>
        <w:t>若</w:t>
      </w:r>
      <w:r>
        <w:rPr>
          <w:rFonts w:hint="eastAsia" w:ascii="仿宋" w:hAnsi="仿宋" w:eastAsia="仿宋" w:cs="仿宋"/>
          <w:kern w:val="2"/>
          <w:sz w:val="30"/>
          <w:szCs w:val="30"/>
          <w:lang w:val="en-US" w:bidi="ar-SA"/>
        </w:rPr>
        <w:t>参赛队选手</w:t>
      </w:r>
      <w:r>
        <w:rPr>
          <w:rFonts w:hint="eastAsia" w:ascii="仿宋" w:hAnsi="仿宋" w:eastAsia="仿宋" w:cs="仿宋"/>
          <w:kern w:val="2"/>
          <w:sz w:val="30"/>
          <w:szCs w:val="30"/>
          <w:lang w:val="en-US" w:eastAsia="zh-CN" w:bidi="ar-SA"/>
        </w:rPr>
        <w:t>、</w:t>
      </w:r>
      <w:r>
        <w:rPr>
          <w:rFonts w:hint="eastAsia" w:ascii="仿宋" w:hAnsi="仿宋" w:eastAsia="仿宋" w:cs="仿宋"/>
          <w:kern w:val="2"/>
          <w:sz w:val="30"/>
          <w:szCs w:val="30"/>
          <w:lang w:val="en-US" w:bidi="ar-SA"/>
        </w:rPr>
        <w:t>指导教师</w:t>
      </w:r>
      <w:r>
        <w:rPr>
          <w:rFonts w:hint="eastAsia" w:ascii="仿宋" w:hAnsi="仿宋" w:eastAsia="仿宋" w:cs="仿宋"/>
          <w:kern w:val="2"/>
          <w:sz w:val="30"/>
          <w:szCs w:val="30"/>
          <w:lang w:val="en-US" w:eastAsia="zh-CN" w:bidi="ar-SA"/>
        </w:rPr>
        <w:t>（包括随行人员）在参赛前</w:t>
      </w:r>
      <w:r>
        <w:rPr>
          <w:rFonts w:hint="eastAsia" w:ascii="仿宋" w:hAnsi="仿宋" w:eastAsia="仿宋" w:cs="仿宋"/>
          <w:kern w:val="2"/>
          <w:sz w:val="30"/>
          <w:szCs w:val="30"/>
          <w:lang w:val="en-US" w:bidi="ar-SA"/>
        </w:rPr>
        <w:t>1</w:t>
      </w:r>
      <w:r>
        <w:rPr>
          <w:rFonts w:hint="eastAsia" w:ascii="仿宋" w:hAnsi="仿宋" w:eastAsia="仿宋" w:cs="仿宋"/>
          <w:kern w:val="2"/>
          <w:sz w:val="30"/>
          <w:szCs w:val="30"/>
          <w:lang w:bidi="ar-SA"/>
        </w:rPr>
        <w:t>4</w:t>
      </w:r>
      <w:r>
        <w:rPr>
          <w:rFonts w:hint="eastAsia" w:ascii="仿宋" w:hAnsi="仿宋" w:eastAsia="仿宋" w:cs="仿宋"/>
          <w:kern w:val="2"/>
          <w:sz w:val="30"/>
          <w:szCs w:val="30"/>
          <w:lang w:val="en-US" w:bidi="ar-SA"/>
        </w:rPr>
        <w:t>天</w:t>
      </w:r>
      <w:r>
        <w:rPr>
          <w:rFonts w:hint="eastAsia" w:ascii="仿宋" w:hAnsi="仿宋" w:eastAsia="仿宋" w:cs="仿宋"/>
          <w:kern w:val="2"/>
          <w:sz w:val="30"/>
          <w:szCs w:val="30"/>
          <w:lang w:val="en-US" w:eastAsia="zh-CN" w:bidi="ar-SA"/>
        </w:rPr>
        <w:t>内</w:t>
      </w:r>
      <w:r>
        <w:rPr>
          <w:rFonts w:hint="eastAsia" w:ascii="仿宋" w:hAnsi="仿宋" w:eastAsia="仿宋" w:cs="仿宋"/>
          <w:kern w:val="2"/>
          <w:sz w:val="30"/>
          <w:szCs w:val="30"/>
          <w:lang w:val="en-US" w:bidi="ar-SA"/>
        </w:rPr>
        <w:t>去</w:t>
      </w:r>
      <w:r>
        <w:rPr>
          <w:rFonts w:hint="eastAsia" w:ascii="仿宋" w:hAnsi="仿宋" w:eastAsia="仿宋" w:cs="仿宋"/>
          <w:kern w:val="2"/>
          <w:sz w:val="30"/>
          <w:szCs w:val="30"/>
          <w:lang w:val="en-US" w:eastAsia="zh-CN" w:bidi="ar-SA"/>
        </w:rPr>
        <w:t>过</w:t>
      </w:r>
      <w:r>
        <w:rPr>
          <w:rFonts w:hint="eastAsia" w:ascii="仿宋" w:hAnsi="仿宋" w:eastAsia="仿宋" w:cs="仿宋"/>
          <w:kern w:val="2"/>
          <w:sz w:val="30"/>
          <w:szCs w:val="30"/>
          <w:lang w:val="en-US" w:bidi="ar-SA"/>
        </w:rPr>
        <w:t>中、高风险地区</w:t>
      </w:r>
      <w:r>
        <w:rPr>
          <w:rFonts w:hint="eastAsia" w:ascii="仿宋" w:hAnsi="仿宋" w:eastAsia="仿宋" w:cs="仿宋"/>
          <w:kern w:val="2"/>
          <w:sz w:val="30"/>
          <w:szCs w:val="30"/>
          <w:lang w:bidi="ar-SA"/>
        </w:rPr>
        <w:t>或有发热等疑似症状者</w:t>
      </w:r>
      <w:r>
        <w:rPr>
          <w:rFonts w:hint="eastAsia" w:ascii="仿宋" w:hAnsi="仿宋" w:eastAsia="仿宋" w:cs="仿宋"/>
          <w:kern w:val="2"/>
          <w:sz w:val="30"/>
          <w:szCs w:val="30"/>
          <w:lang w:val="en-US" w:bidi="ar-SA"/>
        </w:rPr>
        <w:t>，</w:t>
      </w:r>
      <w:r>
        <w:rPr>
          <w:rFonts w:hint="eastAsia" w:ascii="仿宋" w:hAnsi="仿宋" w:eastAsia="仿宋" w:cs="仿宋"/>
          <w:kern w:val="2"/>
          <w:sz w:val="30"/>
          <w:szCs w:val="30"/>
          <w:lang w:val="en-US" w:eastAsia="zh-CN" w:bidi="ar-SA"/>
        </w:rPr>
        <w:t>禁止来校参赛；所有参赛队成员（包括参赛学生、指导教师及随行人员）到达承办校</w:t>
      </w:r>
      <w:r>
        <w:rPr>
          <w:rFonts w:hint="eastAsia" w:ascii="仿宋" w:hAnsi="仿宋" w:eastAsia="仿宋" w:cs="仿宋"/>
          <w:kern w:val="2"/>
          <w:sz w:val="30"/>
          <w:szCs w:val="30"/>
          <w:lang w:val="en-US" w:bidi="ar-SA"/>
        </w:rPr>
        <w:t>需提供</w:t>
      </w:r>
      <w:r>
        <w:rPr>
          <w:rFonts w:hint="eastAsia" w:ascii="仿宋" w:hAnsi="仿宋" w:eastAsia="仿宋" w:cs="仿宋"/>
          <w:kern w:val="2"/>
          <w:sz w:val="30"/>
          <w:szCs w:val="30"/>
          <w:lang w:val="en-US" w:eastAsia="zh-CN" w:bidi="ar-SA"/>
        </w:rPr>
        <w:t>48小时</w:t>
      </w:r>
      <w:r>
        <w:rPr>
          <w:rFonts w:hint="eastAsia" w:ascii="仿宋" w:hAnsi="仿宋" w:eastAsia="仿宋" w:cs="仿宋"/>
          <w:kern w:val="2"/>
          <w:sz w:val="30"/>
          <w:szCs w:val="30"/>
          <w:lang w:val="en-US" w:bidi="ar-SA"/>
        </w:rPr>
        <w:t>内的核酸检测</w:t>
      </w:r>
      <w:r>
        <w:rPr>
          <w:rFonts w:hint="eastAsia" w:ascii="仿宋" w:hAnsi="仿宋" w:eastAsia="仿宋" w:cs="仿宋"/>
          <w:kern w:val="2"/>
          <w:sz w:val="30"/>
          <w:szCs w:val="30"/>
          <w:lang w:val="en-US" w:eastAsia="zh-CN" w:bidi="ar-SA"/>
        </w:rPr>
        <w:t>阴性</w:t>
      </w:r>
      <w:r>
        <w:rPr>
          <w:rFonts w:hint="eastAsia" w:ascii="仿宋" w:hAnsi="仿宋" w:eastAsia="仿宋" w:cs="仿宋"/>
          <w:kern w:val="2"/>
          <w:sz w:val="30"/>
          <w:szCs w:val="30"/>
          <w:lang w:val="en-US" w:bidi="ar-SA"/>
        </w:rPr>
        <w:t>证明</w:t>
      </w:r>
      <w:r>
        <w:rPr>
          <w:rFonts w:hint="eastAsia" w:ascii="仿宋" w:hAnsi="仿宋" w:eastAsia="仿宋" w:cs="仿宋"/>
          <w:kern w:val="2"/>
          <w:sz w:val="30"/>
          <w:szCs w:val="30"/>
          <w:lang w:val="en-US" w:eastAsia="zh-CN" w:bidi="ar-SA"/>
        </w:rPr>
        <w:t>（纸质版或者电子版复印件），</w:t>
      </w:r>
      <w:r>
        <w:rPr>
          <w:rFonts w:hint="eastAsia" w:ascii="仿宋" w:hAnsi="仿宋" w:eastAsia="仿宋" w:cs="仿宋"/>
          <w:sz w:val="30"/>
          <w:szCs w:val="30"/>
          <w:lang w:val="en-US"/>
        </w:rPr>
        <w:t>并在入住宾馆时交给接待人员。</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参赛选手在报名获得确认后，原则上不再更换。如在筹备过程中，选手因故不能参赛，所在学校主管部门需出具书面说明并按相关参赛选手资格补充人员接受审核；竞赛开始后，参赛队不得更换参赛选手，允许队员缺席比赛。任何情况下，不允许更换新的指导教师，允许指导教师缺席。</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4.参赛队对大赛执委会以后发布的所有文件都要仔细阅读，确切了解大赛时间安排、评判细节等，以保证顺利参加大赛。要按执委会统一要求，准时到赛前说明会现场。会议期间要认真领会会议内容， 如有不明之处，可直接向工作人员询问。</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bidi="ar-SA"/>
        </w:rPr>
        <w:t>5.参赛队按照大赛赛程安排，凭大赛执委会颁发的参赛证和有效身份证件参加竞赛及相关活动</w:t>
      </w:r>
      <w:r>
        <w:rPr>
          <w:rFonts w:hint="eastAsia" w:ascii="仿宋" w:hAnsi="仿宋" w:eastAsia="仿宋" w:cs="仿宋"/>
          <w:kern w:val="2"/>
          <w:sz w:val="30"/>
          <w:szCs w:val="30"/>
          <w:lang w:val="en-US" w:eastAsia="zh-CN" w:bidi="ar-SA"/>
        </w:rPr>
        <w:t>。</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bidi="ar-SA"/>
        </w:rPr>
        <w:t>6.各在比赛期间，参赛队要注意饮食卫生，劝阻选手进食不符合卫生的食品和饮料，防止食物中毒；各参赛队要保证所有参赛选手的安全，防止交通事故和其他意外事故的发生</w:t>
      </w:r>
      <w:r>
        <w:rPr>
          <w:rFonts w:hint="eastAsia" w:ascii="仿宋" w:hAnsi="仿宋" w:eastAsia="仿宋" w:cs="仿宋"/>
          <w:kern w:val="2"/>
          <w:sz w:val="30"/>
          <w:szCs w:val="30"/>
          <w:lang w:val="en-US" w:eastAsia="zh-CN" w:bidi="ar-SA"/>
        </w:rPr>
        <w:t>。</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7</w:t>
      </w:r>
      <w:r>
        <w:rPr>
          <w:rFonts w:hint="eastAsia" w:ascii="仿宋" w:hAnsi="仿宋" w:eastAsia="仿宋" w:cs="仿宋"/>
          <w:kern w:val="2"/>
          <w:sz w:val="30"/>
          <w:szCs w:val="30"/>
          <w:lang w:val="en-US" w:bidi="ar-SA"/>
        </w:rPr>
        <w:t>.参加比赛前要求参赛队为参赛学生选手购买人身保险</w:t>
      </w:r>
      <w:r>
        <w:rPr>
          <w:rFonts w:hint="eastAsia" w:ascii="仿宋" w:hAnsi="仿宋" w:eastAsia="仿宋" w:cs="仿宋"/>
          <w:kern w:val="2"/>
          <w:sz w:val="30"/>
          <w:szCs w:val="30"/>
          <w:lang w:val="en-US" w:eastAsia="zh-CN" w:bidi="ar-SA"/>
        </w:rPr>
        <w:t>。</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参赛队按照规程携带指定的设备与工具进行竞赛。禁止携带除竞赛专用移动终端外的照相器材和录像设备等，一经发现，立即没收，且竞赛期间严禁利用移动终端拍摄或保存赛场内的图像信息。</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参赛队自带大赛选定的竞赛平台，不得改装。赛项裁判组将对所有选手自带的竞赛平台进行逐一详细检查，私自改装的竞赛平台将不允许进入赛场，竞赛平台检查时以赛项执委会指定竞赛平台样车为标准，与指定样车比较，如有增加、改动的部件则不合格，属于私自改装，不许进入赛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竞赛当天参赛队检录入场时，每个参赛队最多可携带三台笔记本电脑。</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bidi="ar-SA"/>
        </w:rPr>
        <w:t>本规则没有规定的行为，裁判组有权做出裁决。在有争议的情况下，仲裁工作组的裁决是最终裁决，任何媒体资料都不做参考</w:t>
      </w:r>
      <w:r>
        <w:rPr>
          <w:rFonts w:hint="eastAsia" w:ascii="仿宋" w:hAnsi="仿宋" w:eastAsia="仿宋" w:cs="仿宋"/>
          <w:kern w:val="2"/>
          <w:sz w:val="30"/>
          <w:szCs w:val="30"/>
          <w:lang w:val="en-US" w:eastAsia="zh-CN" w:bidi="ar-SA"/>
        </w:rPr>
        <w:t>。</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（三）指导教师须知</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1.严格遵守赛场的规章制度，服从裁判，文明竞赛。</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竞赛过程中，除参加当场次竞赛的选手、执行裁判员、现场工作人员和经批准的人员外，领队、指导教师及其他人员一律不得进入竞赛现场。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w:t>
      </w:r>
      <w:r>
        <w:rPr>
          <w:rFonts w:hint="eastAsia" w:ascii="仿宋" w:hAnsi="仿宋" w:eastAsia="仿宋" w:cs="仿宋"/>
          <w:sz w:val="30"/>
          <w:szCs w:val="30"/>
        </w:rPr>
        <w:t>各代表队领队要坚决执行竞赛的各项规定，加强对参赛人员的管理，做好赛前准备工作，督促选手带好证件等竞赛相关材料。</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eastAsia="zh-CN" w:bidi="ar-SA"/>
        </w:rPr>
        <w:t>3</w:t>
      </w:r>
      <w:r>
        <w:rPr>
          <w:rFonts w:hint="eastAsia" w:ascii="仿宋" w:hAnsi="仿宋" w:eastAsia="仿宋" w:cs="仿宋"/>
          <w:kern w:val="2"/>
          <w:sz w:val="30"/>
          <w:szCs w:val="30"/>
          <w:lang w:val="en-US" w:bidi="ar-SA"/>
        </w:rPr>
        <w:t>.若发现指导教师通过通讯手段与竞赛场内参赛学生进行交互，则取消该参赛队的比赛资格。</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sz w:val="30"/>
          <w:szCs w:val="30"/>
        </w:rPr>
      </w:pPr>
      <w:r>
        <w:rPr>
          <w:rFonts w:hint="eastAsia" w:ascii="仿宋" w:hAnsi="仿宋" w:eastAsia="仿宋" w:cs="仿宋"/>
          <w:kern w:val="2"/>
          <w:sz w:val="30"/>
          <w:szCs w:val="30"/>
          <w:lang w:val="en-US" w:eastAsia="zh-CN" w:bidi="ar-SA"/>
        </w:rPr>
        <w:t>4</w:t>
      </w:r>
      <w:r>
        <w:rPr>
          <w:rFonts w:hint="eastAsia" w:ascii="仿宋" w:hAnsi="仿宋" w:eastAsia="仿宋" w:cs="仿宋"/>
          <w:kern w:val="2"/>
          <w:sz w:val="30"/>
          <w:szCs w:val="30"/>
          <w:lang w:val="en-US" w:bidi="ar-SA"/>
        </w:rPr>
        <w:t>.在比赛前后若发现参赛选手或指导教师有发热等异常状况，应及时告知赛项组委会、承办院校和自己所在的学校领导，及时采取自我隔离的办法等待后续处理。</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w:t>
      </w:r>
      <w:r>
        <w:rPr>
          <w:rFonts w:hint="eastAsia"/>
          <w:lang w:val="en-US" w:eastAsia="zh-CN"/>
        </w:rPr>
        <w:t>四</w:t>
      </w:r>
      <w:r>
        <w:rPr>
          <w:rFonts w:hint="eastAsia"/>
          <w:lang w:val="en-US"/>
        </w:rPr>
        <w:t>）参赛选手须知</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1．参赛选手应严格遵守赛场规章、操作规程和工艺准则，保证人身及设备安全，接受裁判员的监督和警示，文明竞赛。</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highlight w:val="none"/>
        </w:rPr>
      </w:pPr>
      <w:r>
        <w:rPr>
          <w:rFonts w:hint="eastAsia" w:ascii="仿宋" w:hAnsi="仿宋" w:eastAsia="仿宋" w:cs="仿宋"/>
          <w:sz w:val="30"/>
          <w:szCs w:val="30"/>
          <w:highlight w:val="none"/>
        </w:rPr>
        <w:t>2．参赛选手需同时携带身份证、学生证、参赛证入场，进行检录，抽取顺序号后，须将所有证件交给指导教师，不得带入赛场。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3．参赛选手进入赛场，不许携带任何书籍和其他纸质资料，以及所规定的禁带设备。</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4．各参赛队应在竞赛开始前一天规定的时间段进入赛场熟悉环境，严格按照赛项执委会安排进行有序参观，未经允许不得进入非参观区域，不得随意触碰赛场设备，未经批准不得拍照以及发布赛场相关材料。</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5．参赛选手严禁携带任何能够与赛场外部建立联系的无线通信设备，参赛队携带的笔记本电脑和移动终端，不允许集成除Wi-Fi外的任何能够与赛场外部建立联系的无线通信部件（如内置3G、4G上网卡等)。选手在竞赛中只允许使用竞赛平台自带Wi-Fi，其它任何无线网络禁止开启。如果携带上述设备或采用任何方式与场外进行联系,一经发现将按作弊处理，直接取消竞赛资格。</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6．竞赛时，各参赛队自行决定分工和时间安排，在指定赛位上完成竞赛项目，严禁作弊行为。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7．各参赛队每轮测试时间为5分钟，测试间隔1分钟；测试周期以参赛队数最多的一组总用时为准，各组相同；在同一测试周期内严格按赛位号顺序由小到大开始测试；参赛队若未按时间测试则视为自动放弃本次测试机会。</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8．竞赛过程中，因严重操作失误或安全事故不能进行竞赛的（例如因所调试的功能电路板发生短路导致赛位断电的、造成设备不能正常工作的），现场裁判员有权中止该队竞赛。</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9．选手在竞赛时间内连续工作，食品、饮水等由赛场统一提供。</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10．凡在竞赛时间段内提前离场的选手，不得再返回赛场。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11．在第一模块竞赛期间，参赛选手仅限于自己工作区内活动，违者取消参赛队竞赛资格。</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12．进行第二模块竞赛测评阶段时，各参赛队需要根据大赛发布的竞赛顺序，在工作人员的引导下，依次进入场内。</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13．参赛队携带“竞赛平台”到达竞赛场地后，必须在裁判明示允许竞赛后，才能开启“竞赛平台”的电源并放入赛道起始区。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14．在进行第二模块竞赛测评过程中，未经裁判员允许，参赛选手不得接触已启动的“竞赛平台”和移动终端，违者取消其竞赛成绩。</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15．参赛队竞赛平台在进行第二模块竞赛测评过程中，竞赛平台应全部自动控制，如选手在测试开始至完成期间触碰竞赛平台，则本次评测成绩无效。</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16．功能电路板焊接所用的元器件及套件统一由执委会提供，不得使用任何自带的元器件，如有违反，以舞弊论处，取消该队竞赛成绩。</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17．参赛选手要注意及时存盘，由于操作不当引起死机导致文件丢失的，由选手自行负责。</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18．在参赛期间，选手应当注意保持工作环境及设备摆放符合企业生产“5S”的原则。</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19．参赛队欲提前结束竞赛，应由队长举手示意，由现场裁判员与队长共同签字确认，并记录其竞赛终止时间。签字确认后，该队全体队员不得再进行任何与竞赛有关的操作。</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20．参赛队应在竞赛结束后统一离场，已完成竞赛任务的参赛队，应在自己赛位上安静等待，不得干扰其他参赛队，否则由裁判给予警告。累计警告2次，或情节特别严重的，经裁判长裁定后，中止竞赛，并取消竞赛成绩。</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21．竞赛结束后，参赛选手应整理由赛项执委会现场下发所有资料，并交给裁判，不得将相关材料带离竞赛现场。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lang w:val="en-US"/>
        </w:rPr>
      </w:pPr>
      <w:r>
        <w:rPr>
          <w:rFonts w:hint="eastAsia" w:ascii="仿宋" w:hAnsi="仿宋" w:eastAsia="仿宋" w:cs="仿宋"/>
          <w:sz w:val="30"/>
          <w:szCs w:val="30"/>
          <w:lang w:val="en-US" w:eastAsia="zh-CN"/>
        </w:rPr>
        <w:t>22</w:t>
      </w:r>
      <w:r>
        <w:rPr>
          <w:rFonts w:hint="eastAsia" w:ascii="仿宋" w:hAnsi="仿宋" w:eastAsia="仿宋" w:cs="仿宋"/>
          <w:sz w:val="30"/>
          <w:szCs w:val="30"/>
          <w:lang w:val="en-US"/>
        </w:rPr>
        <w:t>.所有选手都应随身携带口罩，若在比赛现场出现发烧和不适症状，应及时佩戴口罩，并向现场裁判举手示意等待处理，不得隐瞒。</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23</w:t>
      </w:r>
      <w:r>
        <w:rPr>
          <w:rFonts w:hint="eastAsia" w:ascii="仿宋" w:hAnsi="仿宋" w:eastAsia="仿宋" w:cs="仿宋"/>
          <w:sz w:val="30"/>
          <w:szCs w:val="30"/>
          <w:lang w:val="en-US"/>
        </w:rPr>
        <w:t>.选手报到选手须带有效证件，选手到达酒店后，请在房间休息，为了安全起见，请不要擅自外出，如有外出需要，请提前与宾馆负责人沟通好。</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w:t>
      </w:r>
      <w:r>
        <w:rPr>
          <w:rFonts w:hint="eastAsia"/>
          <w:lang w:val="en-US" w:eastAsia="zh-CN"/>
        </w:rPr>
        <w:t>五</w:t>
      </w:r>
      <w:r>
        <w:rPr>
          <w:rFonts w:hint="eastAsia"/>
          <w:lang w:val="en-US"/>
        </w:rPr>
        <w:t>）工作人员须知</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1．工作人员必须统一佩戴由大赛组委会签发的相应证件，着装整齐。</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2．工作人员不得影响参赛选手竞赛，不允许有影响竞赛公平的行为。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 xml:space="preserve">3．服从领导，听从指挥，以高度负责的精神、严肃认真的态度做好各项工作。 </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 xml:space="preserve">4．熟悉竞赛规程，认真遵守各项竞赛规则和工作要求。 </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5．坚守岗位，如有急事需要离开岗位时，应经赛场</w:t>
      </w:r>
      <w:r>
        <w:rPr>
          <w:rFonts w:hint="eastAsia" w:ascii="仿宋" w:hAnsi="仿宋" w:eastAsia="仿宋" w:cs="仿宋"/>
          <w:sz w:val="30"/>
          <w:szCs w:val="30"/>
          <w:lang w:val="en-US" w:eastAsia="zh-CN"/>
        </w:rPr>
        <w:t>负责人</w:t>
      </w:r>
      <w:r>
        <w:rPr>
          <w:rFonts w:hint="eastAsia" w:ascii="仿宋" w:hAnsi="仿宋" w:eastAsia="仿宋" w:cs="仿宋"/>
          <w:sz w:val="30"/>
          <w:szCs w:val="30"/>
        </w:rPr>
        <w:t xml:space="preserve">同意，并做好工作衔接。 </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 xml:space="preserve">6．严格遵守竞赛纪律，如发现其他人员有违反竞赛纪律的行为，应予以制止。情节严重的，应向大赛组委会反映。 </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7．发扬无私奉献和团结协作的精神，提供热情、优质服务。</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rPr>
      </w:pPr>
      <w:r>
        <w:rPr>
          <w:rFonts w:hint="eastAsia"/>
        </w:rPr>
        <w:t>十</w:t>
      </w:r>
      <w:r>
        <w:rPr>
          <w:rFonts w:hint="eastAsia"/>
          <w:lang w:val="en-US" w:eastAsia="zh-CN"/>
        </w:rPr>
        <w:t>六</w:t>
      </w:r>
      <w:r>
        <w:rPr>
          <w:rFonts w:hint="eastAsia"/>
        </w:rPr>
        <w:t>、申诉与仲裁</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各参赛队对不符合大赛和赛项规程规定的仪器、设备、工装、材料、物件、计算机软硬件、竞赛使用工具、用品，竞赛执裁、赛场管理，以及工作人员的不规范行为等，可向赛项监督仲裁组提出申诉。申诉主体为参赛队领队。参赛队领队可在竞赛结束后（选手赛场竞赛内容全部完成）2小时之内向监督仲裁组提出书面申诉。</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 xml:space="preserve">书面申诉应对申诉事件的现象、发生时间、涉及人员、申诉依据等进行充分、实事求是的叙述，并由领队亲笔签名。非书面申诉不予受理。 </w:t>
      </w:r>
    </w:p>
    <w:p>
      <w:pPr>
        <w:pageBreakBefore w:val="0"/>
        <w:widowControl w:val="0"/>
        <w:kinsoku/>
        <w:wordWrap/>
        <w:overflowPunct/>
        <w:topLinePunct w:val="0"/>
        <w:bidi w:val="0"/>
        <w:adjustRightInd/>
        <w:snapToGrid/>
        <w:spacing w:line="560" w:lineRule="exact"/>
        <w:ind w:firstLine="560"/>
        <w:textAlignment w:val="auto"/>
        <w:rPr>
          <w:rFonts w:hint="eastAsia"/>
          <w:sz w:val="30"/>
          <w:szCs w:val="30"/>
        </w:rPr>
      </w:pPr>
      <w:r>
        <w:rPr>
          <w:rFonts w:hint="eastAsia"/>
          <w:sz w:val="30"/>
          <w:szCs w:val="30"/>
        </w:rPr>
        <w:t>赛项仲裁工作组在接到申诉报告后的2小时内组织复议，并及时将复议结果以书面形式告知申诉方。申诉方必须提供真实的申诉信息并严格遵守申诉程序，不得以任何理由采取过激行为扰乱赛场秩序。</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lang w:val="en-US" w:eastAsia="zh-CN"/>
        </w:rPr>
      </w:pPr>
      <w:r>
        <w:rPr>
          <w:rFonts w:hint="eastAsia"/>
          <w:lang w:val="en-US"/>
        </w:rPr>
        <w:t>十</w:t>
      </w:r>
      <w:r>
        <w:rPr>
          <w:rFonts w:hint="eastAsia"/>
          <w:lang w:val="en-US" w:eastAsia="zh-CN"/>
        </w:rPr>
        <w:t>七</w:t>
      </w:r>
      <w:r>
        <w:rPr>
          <w:rFonts w:hint="eastAsia"/>
          <w:lang w:val="en-US"/>
        </w:rPr>
        <w:t>、报到及推荐住宿地点</w:t>
      </w:r>
      <w:r>
        <w:rPr>
          <w:rFonts w:hint="eastAsia"/>
          <w:lang w:val="en-US" w:eastAsia="zh-CN"/>
        </w:rPr>
        <w:t>（具体以《参赛指南》为准）</w:t>
      </w:r>
    </w:p>
    <w:p>
      <w:pPr>
        <w:pageBreakBefore w:val="0"/>
        <w:widowControl w:val="0"/>
        <w:kinsoku/>
        <w:wordWrap/>
        <w:overflowPunct/>
        <w:topLinePunct w:val="0"/>
        <w:bidi w:val="0"/>
        <w:adjustRightInd/>
        <w:snapToGrid/>
        <w:spacing w:line="560" w:lineRule="exact"/>
        <w:ind w:left="0" w:leftChars="0" w:firstLine="602" w:firstLineChars="200"/>
        <w:jc w:val="both"/>
        <w:textAlignment w:val="auto"/>
        <w:rPr>
          <w:rFonts w:ascii="仿宋_GB2312" w:hAnsi="仿宋" w:eastAsia="仿宋_GB2312" w:cs="Times New Roman"/>
          <w:kern w:val="2"/>
          <w:sz w:val="30"/>
          <w:szCs w:val="30"/>
          <w:lang w:val="en-US" w:bidi="ar-SA"/>
        </w:rPr>
      </w:pPr>
      <w:r>
        <w:rPr>
          <w:rFonts w:hint="eastAsia" w:ascii="仿宋_GB2312" w:hAnsi="仿宋" w:eastAsia="仿宋_GB2312" w:cs="Times New Roman"/>
          <w:b/>
          <w:bCs/>
          <w:kern w:val="2"/>
          <w:sz w:val="30"/>
          <w:szCs w:val="30"/>
          <w:lang w:val="en-US" w:bidi="ar-SA"/>
        </w:rPr>
        <w:t>1.参赛队报到</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highlight w:val="none"/>
          <w:lang w:val="en-US" w:bidi="ar-SA"/>
        </w:rPr>
      </w:pPr>
      <w:r>
        <w:rPr>
          <w:rFonts w:hint="eastAsia" w:ascii="仿宋_GB2312" w:hAnsi="仿宋" w:eastAsia="仿宋_GB2312" w:cs="Times New Roman"/>
          <w:kern w:val="2"/>
          <w:sz w:val="30"/>
          <w:szCs w:val="30"/>
          <w:lang w:val="en-US" w:bidi="ar-SA"/>
        </w:rPr>
        <w:t xml:space="preserve">  时间：</w:t>
      </w:r>
      <w:r>
        <w:rPr>
          <w:rFonts w:hint="eastAsia" w:ascii="仿宋_GB2312" w:hAnsi="仿宋" w:eastAsia="仿宋_GB2312" w:cs="Times New Roman"/>
          <w:kern w:val="2"/>
          <w:sz w:val="30"/>
          <w:szCs w:val="30"/>
          <w:highlight w:val="none"/>
          <w:lang w:val="en-US" w:bidi="ar-SA"/>
        </w:rPr>
        <w:t>2021年</w:t>
      </w:r>
      <w:r>
        <w:rPr>
          <w:rFonts w:hint="eastAsia" w:hAnsi="仿宋" w:cs="Times New Roman"/>
          <w:kern w:val="2"/>
          <w:sz w:val="30"/>
          <w:szCs w:val="30"/>
          <w:highlight w:val="none"/>
          <w:lang w:val="en-US" w:eastAsia="zh-CN" w:bidi="ar-SA"/>
        </w:rPr>
        <w:t>12</w:t>
      </w:r>
      <w:r>
        <w:rPr>
          <w:rFonts w:hint="eastAsia" w:ascii="仿宋_GB2312" w:hAnsi="仿宋" w:eastAsia="仿宋_GB2312" w:cs="Times New Roman"/>
          <w:kern w:val="2"/>
          <w:sz w:val="30"/>
          <w:szCs w:val="30"/>
          <w:highlight w:val="none"/>
          <w:lang w:val="en-US" w:bidi="ar-SA"/>
        </w:rPr>
        <w:t>月</w:t>
      </w:r>
      <w:r>
        <w:rPr>
          <w:rFonts w:hint="eastAsia" w:hAnsi="仿宋" w:cs="Times New Roman"/>
          <w:kern w:val="2"/>
          <w:sz w:val="30"/>
          <w:szCs w:val="30"/>
          <w:highlight w:val="none"/>
          <w:lang w:val="en-US" w:eastAsia="zh-CN" w:bidi="ar-SA"/>
        </w:rPr>
        <w:t>15</w:t>
      </w:r>
      <w:r>
        <w:rPr>
          <w:rFonts w:hint="eastAsia" w:ascii="仿宋_GB2312" w:hAnsi="仿宋" w:eastAsia="仿宋_GB2312" w:cs="Times New Roman"/>
          <w:kern w:val="2"/>
          <w:sz w:val="30"/>
          <w:szCs w:val="30"/>
          <w:highlight w:val="none"/>
          <w:lang w:val="en-US" w:bidi="ar-SA"/>
        </w:rPr>
        <w:t>日12:30-14:30</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lang w:val="en-US" w:bidi="ar-SA"/>
        </w:rPr>
      </w:pPr>
      <w:r>
        <w:rPr>
          <w:rFonts w:hint="eastAsia" w:ascii="仿宋_GB2312" w:hAnsi="仿宋" w:eastAsia="仿宋_GB2312" w:cs="Times New Roman"/>
          <w:kern w:val="2"/>
          <w:sz w:val="30"/>
          <w:szCs w:val="30"/>
          <w:lang w:val="en-US" w:bidi="ar-SA"/>
        </w:rPr>
        <w:t xml:space="preserve">  报到地点：郑州铁路职业技术学院（</w:t>
      </w:r>
      <w:r>
        <w:rPr>
          <w:rFonts w:hint="eastAsia" w:ascii="仿宋_GB2312" w:hAnsi="仿宋_GB2312" w:eastAsia="仿宋_GB2312" w:cs="仿宋_GB2312"/>
          <w:sz w:val="30"/>
          <w:szCs w:val="30"/>
          <w:highlight w:val="none"/>
          <w:lang w:val="en-US"/>
        </w:rPr>
        <w:t>郑州市</w:t>
      </w:r>
      <w:r>
        <w:rPr>
          <w:rFonts w:hint="eastAsia" w:hAnsi="仿宋_GB2312" w:cs="仿宋_GB2312"/>
          <w:sz w:val="30"/>
          <w:szCs w:val="30"/>
          <w:highlight w:val="none"/>
          <w:lang w:val="en-US" w:eastAsia="zh-CN"/>
        </w:rPr>
        <w:t>郑东新区</w:t>
      </w:r>
      <w:r>
        <w:rPr>
          <w:rFonts w:hint="eastAsia" w:ascii="仿宋_GB2312" w:hAnsi="仿宋_GB2312" w:eastAsia="仿宋_GB2312" w:cs="仿宋_GB2312"/>
          <w:sz w:val="30"/>
          <w:szCs w:val="30"/>
          <w:highlight w:val="none"/>
          <w:lang w:val="en-US"/>
        </w:rPr>
        <w:t>鹏程大道56号</w:t>
      </w:r>
      <w:r>
        <w:rPr>
          <w:rFonts w:hint="eastAsia" w:ascii="仿宋_GB2312" w:hAnsi="仿宋" w:eastAsia="仿宋_GB2312" w:cs="Times New Roman"/>
          <w:kern w:val="2"/>
          <w:sz w:val="30"/>
          <w:szCs w:val="30"/>
          <w:lang w:val="en-US" w:bidi="ar-SA"/>
        </w:rPr>
        <w:t>）</w:t>
      </w:r>
      <w:r>
        <w:rPr>
          <w:rFonts w:hint="eastAsia" w:hAnsi="仿宋" w:cs="Times New Roman"/>
          <w:kern w:val="2"/>
          <w:sz w:val="30"/>
          <w:szCs w:val="30"/>
          <w:lang w:val="en-US" w:eastAsia="zh-CN" w:bidi="ar-SA"/>
        </w:rPr>
        <w:t>舒雅楼</w:t>
      </w:r>
      <w:r>
        <w:rPr>
          <w:rFonts w:hint="eastAsia" w:ascii="仿宋_GB2312" w:hAnsi="仿宋" w:eastAsia="仿宋_GB2312" w:cs="Times New Roman"/>
          <w:kern w:val="2"/>
          <w:sz w:val="30"/>
          <w:szCs w:val="30"/>
          <w:lang w:val="en-US" w:bidi="ar-SA"/>
        </w:rPr>
        <w:t>1楼报到处</w:t>
      </w:r>
    </w:p>
    <w:p>
      <w:pPr>
        <w:pageBreakBefore w:val="0"/>
        <w:widowControl w:val="0"/>
        <w:kinsoku/>
        <w:wordWrap/>
        <w:overflowPunct/>
        <w:topLinePunct w:val="0"/>
        <w:bidi w:val="0"/>
        <w:adjustRightInd/>
        <w:snapToGrid/>
        <w:spacing w:line="560" w:lineRule="exact"/>
        <w:jc w:val="both"/>
        <w:textAlignment w:val="auto"/>
        <w:rPr>
          <w:rFonts w:hint="eastAsia" w:hAnsi="仿宋" w:cs="Times New Roman"/>
          <w:kern w:val="2"/>
          <w:sz w:val="30"/>
          <w:szCs w:val="30"/>
          <w:highlight w:val="none"/>
          <w:lang w:val="en-US" w:eastAsia="zh-CN" w:bidi="ar-SA"/>
        </w:rPr>
      </w:pPr>
      <w:r>
        <w:rPr>
          <w:rFonts w:hint="eastAsia" w:ascii="仿宋_GB2312" w:hAnsi="仿宋" w:eastAsia="仿宋_GB2312" w:cs="Times New Roman"/>
          <w:kern w:val="2"/>
          <w:sz w:val="30"/>
          <w:szCs w:val="30"/>
          <w:highlight w:val="none"/>
          <w:lang w:val="en-US" w:bidi="ar-SA"/>
        </w:rPr>
        <w:t xml:space="preserve">  联系人：</w:t>
      </w:r>
      <w:r>
        <w:rPr>
          <w:rFonts w:hint="eastAsia" w:hAnsi="仿宋" w:cs="Times New Roman"/>
          <w:kern w:val="2"/>
          <w:sz w:val="30"/>
          <w:szCs w:val="30"/>
          <w:highlight w:val="none"/>
          <w:lang w:val="en-US" w:eastAsia="zh-CN" w:bidi="ar-SA"/>
        </w:rPr>
        <w:t>张甄</w:t>
      </w:r>
      <w:r>
        <w:rPr>
          <w:rFonts w:hint="eastAsia" w:ascii="仿宋_GB2312" w:hAnsi="仿宋" w:eastAsia="仿宋_GB2312" w:cs="Times New Roman"/>
          <w:kern w:val="2"/>
          <w:sz w:val="30"/>
          <w:szCs w:val="30"/>
          <w:highlight w:val="none"/>
          <w:lang w:val="en-US" w:bidi="ar-SA"/>
        </w:rPr>
        <w:t xml:space="preserve">    </w:t>
      </w:r>
      <w:r>
        <w:rPr>
          <w:rFonts w:hint="eastAsia" w:hAnsi="仿宋" w:cs="Times New Roman"/>
          <w:kern w:val="2"/>
          <w:sz w:val="30"/>
          <w:szCs w:val="30"/>
          <w:highlight w:val="none"/>
          <w:lang w:val="en-US" w:eastAsia="zh-CN" w:bidi="ar-SA"/>
        </w:rPr>
        <w:t xml:space="preserve"> </w:t>
      </w:r>
      <w:r>
        <w:rPr>
          <w:rFonts w:hint="eastAsia" w:ascii="仿宋_GB2312" w:hAnsi="仿宋" w:eastAsia="仿宋_GB2312" w:cs="Times New Roman"/>
          <w:kern w:val="2"/>
          <w:sz w:val="30"/>
          <w:szCs w:val="30"/>
          <w:highlight w:val="none"/>
          <w:lang w:val="en-US" w:bidi="ar-SA"/>
        </w:rPr>
        <w:t>手机：</w:t>
      </w:r>
      <w:r>
        <w:rPr>
          <w:rFonts w:hint="eastAsia" w:hAnsi="仿宋" w:cs="Times New Roman"/>
          <w:kern w:val="2"/>
          <w:sz w:val="30"/>
          <w:szCs w:val="30"/>
          <w:highlight w:val="none"/>
          <w:lang w:val="en-US" w:eastAsia="zh-CN" w:bidi="ar-SA"/>
        </w:rPr>
        <w:t>13633816695</w:t>
      </w:r>
    </w:p>
    <w:p>
      <w:pPr>
        <w:pageBreakBefore w:val="0"/>
        <w:widowControl w:val="0"/>
        <w:kinsoku/>
        <w:wordWrap/>
        <w:overflowPunct/>
        <w:topLinePunct w:val="0"/>
        <w:bidi w:val="0"/>
        <w:adjustRightInd/>
        <w:snapToGrid/>
        <w:spacing w:line="560" w:lineRule="exact"/>
        <w:ind w:firstLine="2100" w:firstLineChars="700"/>
        <w:jc w:val="both"/>
        <w:textAlignment w:val="auto"/>
        <w:rPr>
          <w:rFonts w:hint="default" w:hAnsi="仿宋" w:cs="Times New Roman"/>
          <w:kern w:val="2"/>
          <w:sz w:val="30"/>
          <w:szCs w:val="30"/>
          <w:highlight w:val="none"/>
          <w:lang w:val="en-US" w:eastAsia="zh-CN" w:bidi="ar-SA"/>
        </w:rPr>
      </w:pPr>
      <w:r>
        <w:rPr>
          <w:rFonts w:hint="eastAsia" w:hAnsi="仿宋" w:cs="Times New Roman"/>
          <w:kern w:val="2"/>
          <w:sz w:val="30"/>
          <w:szCs w:val="30"/>
          <w:highlight w:val="none"/>
          <w:lang w:val="en-US" w:eastAsia="zh-CN" w:bidi="ar-SA"/>
        </w:rPr>
        <w:t>张家宁   手机：18137890353</w:t>
      </w:r>
    </w:p>
    <w:p>
      <w:pPr>
        <w:pageBreakBefore w:val="0"/>
        <w:widowControl w:val="0"/>
        <w:kinsoku/>
        <w:wordWrap/>
        <w:overflowPunct/>
        <w:topLinePunct w:val="0"/>
        <w:bidi w:val="0"/>
        <w:adjustRightInd/>
        <w:snapToGrid/>
        <w:spacing w:line="560" w:lineRule="exact"/>
        <w:ind w:left="0" w:leftChars="0" w:firstLine="0" w:firstLineChars="0"/>
        <w:jc w:val="both"/>
        <w:textAlignment w:val="auto"/>
        <w:rPr>
          <w:rFonts w:hint="eastAsia" w:ascii="仿宋_GB2312" w:hAnsi="仿宋" w:eastAsia="仿宋_GB2312" w:cs="Times New Roman"/>
          <w:kern w:val="2"/>
          <w:sz w:val="30"/>
          <w:szCs w:val="30"/>
          <w:lang w:val="en-US" w:eastAsia="zh-CN" w:bidi="ar-SA"/>
        </w:rPr>
      </w:pPr>
      <w:r>
        <w:rPr>
          <w:rFonts w:hint="eastAsia" w:ascii="仿宋_GB2312" w:hAnsi="仿宋" w:eastAsia="仿宋_GB2312" w:cs="Times New Roman"/>
          <w:kern w:val="2"/>
          <w:sz w:val="30"/>
          <w:szCs w:val="30"/>
          <w:lang w:val="en-US" w:bidi="ar-SA"/>
        </w:rPr>
        <w:t xml:space="preserve"> </w:t>
      </w:r>
      <w:r>
        <w:rPr>
          <w:rFonts w:hint="eastAsia" w:hAnsi="仿宋" w:cs="Times New Roman"/>
          <w:kern w:val="2"/>
          <w:sz w:val="30"/>
          <w:szCs w:val="30"/>
          <w:lang w:val="en-US" w:eastAsia="zh-CN" w:bidi="ar-SA"/>
        </w:rPr>
        <w:t xml:space="preserve">   </w:t>
      </w:r>
      <w:r>
        <w:rPr>
          <w:rFonts w:hint="eastAsia" w:hAnsi="仿宋" w:cs="Times New Roman"/>
          <w:b/>
          <w:bCs/>
          <w:kern w:val="2"/>
          <w:sz w:val="30"/>
          <w:szCs w:val="30"/>
          <w:lang w:val="en-US" w:eastAsia="zh-CN" w:bidi="ar-SA"/>
        </w:rPr>
        <w:t>2</w:t>
      </w:r>
      <w:r>
        <w:rPr>
          <w:rFonts w:hint="eastAsia" w:ascii="仿宋_GB2312" w:hAnsi="仿宋" w:eastAsia="仿宋_GB2312" w:cs="Times New Roman"/>
          <w:b/>
          <w:bCs/>
          <w:kern w:val="2"/>
          <w:sz w:val="30"/>
          <w:szCs w:val="30"/>
          <w:lang w:val="en-US" w:bidi="ar-SA"/>
        </w:rPr>
        <w:t>.</w:t>
      </w:r>
      <w:r>
        <w:rPr>
          <w:rFonts w:hint="eastAsia" w:hAnsi="仿宋" w:cs="Times New Roman"/>
          <w:b/>
          <w:bCs/>
          <w:kern w:val="2"/>
          <w:sz w:val="30"/>
          <w:szCs w:val="30"/>
          <w:lang w:val="en-US" w:eastAsia="zh-CN" w:bidi="ar-SA"/>
        </w:rPr>
        <w:t>赛项说明会及</w:t>
      </w:r>
      <w:r>
        <w:rPr>
          <w:rFonts w:hint="eastAsia" w:ascii="仿宋_GB2312" w:hAnsi="仿宋" w:eastAsia="仿宋_GB2312" w:cs="Times New Roman"/>
          <w:b/>
          <w:bCs/>
          <w:kern w:val="2"/>
          <w:sz w:val="30"/>
          <w:szCs w:val="30"/>
          <w:lang w:val="en-US" w:bidi="ar-SA"/>
        </w:rPr>
        <w:t>抽签</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highlight w:val="none"/>
          <w:lang w:val="en-US" w:bidi="ar-SA"/>
        </w:rPr>
      </w:pPr>
      <w:r>
        <w:rPr>
          <w:rFonts w:hint="eastAsia" w:ascii="仿宋_GB2312" w:hAnsi="仿宋" w:eastAsia="仿宋_GB2312" w:cs="Times New Roman"/>
          <w:kern w:val="2"/>
          <w:sz w:val="30"/>
          <w:szCs w:val="30"/>
          <w:lang w:val="en-US" w:bidi="ar-SA"/>
        </w:rPr>
        <w:t xml:space="preserve">  时间：2021年</w:t>
      </w:r>
      <w:r>
        <w:rPr>
          <w:rFonts w:hint="eastAsia" w:hAnsi="仿宋" w:cs="Times New Roman"/>
          <w:kern w:val="2"/>
          <w:sz w:val="30"/>
          <w:szCs w:val="30"/>
          <w:lang w:val="en-US" w:eastAsia="zh-CN" w:bidi="ar-SA"/>
        </w:rPr>
        <w:t>12</w:t>
      </w:r>
      <w:r>
        <w:rPr>
          <w:rFonts w:hint="eastAsia" w:ascii="仿宋_GB2312" w:hAnsi="仿宋" w:eastAsia="仿宋_GB2312" w:cs="Times New Roman"/>
          <w:kern w:val="2"/>
          <w:sz w:val="30"/>
          <w:szCs w:val="30"/>
          <w:lang w:val="en-US" w:bidi="ar-SA"/>
        </w:rPr>
        <w:t>月</w:t>
      </w:r>
      <w:r>
        <w:rPr>
          <w:rFonts w:hint="eastAsia" w:hAnsi="仿宋" w:cs="Times New Roman"/>
          <w:kern w:val="2"/>
          <w:sz w:val="30"/>
          <w:szCs w:val="30"/>
          <w:lang w:val="en-US" w:eastAsia="zh-CN" w:bidi="ar-SA"/>
        </w:rPr>
        <w:t>15</w:t>
      </w:r>
      <w:bookmarkStart w:id="4" w:name="_GoBack"/>
      <w:bookmarkEnd w:id="4"/>
      <w:r>
        <w:rPr>
          <w:rFonts w:hint="eastAsia" w:ascii="仿宋_GB2312" w:hAnsi="仿宋" w:eastAsia="仿宋_GB2312" w:cs="Times New Roman"/>
          <w:kern w:val="2"/>
          <w:sz w:val="30"/>
          <w:szCs w:val="30"/>
          <w:highlight w:val="none"/>
          <w:lang w:val="en-US" w:bidi="ar-SA"/>
        </w:rPr>
        <w:t>日1</w:t>
      </w:r>
      <w:r>
        <w:rPr>
          <w:rFonts w:hint="eastAsia" w:hAnsi="仿宋" w:cs="Times New Roman"/>
          <w:kern w:val="2"/>
          <w:sz w:val="30"/>
          <w:szCs w:val="30"/>
          <w:highlight w:val="none"/>
          <w:lang w:val="en-US" w:eastAsia="zh-CN" w:bidi="ar-SA"/>
        </w:rPr>
        <w:t>5</w:t>
      </w:r>
      <w:r>
        <w:rPr>
          <w:rFonts w:hint="eastAsia" w:ascii="仿宋_GB2312" w:hAnsi="仿宋" w:eastAsia="仿宋_GB2312" w:cs="Times New Roman"/>
          <w:kern w:val="2"/>
          <w:sz w:val="30"/>
          <w:szCs w:val="30"/>
          <w:highlight w:val="none"/>
          <w:lang w:val="en-US" w:bidi="ar-SA"/>
        </w:rPr>
        <w:t>:</w:t>
      </w:r>
      <w:r>
        <w:rPr>
          <w:rFonts w:hint="eastAsia" w:hAnsi="仿宋" w:cs="Times New Roman"/>
          <w:kern w:val="2"/>
          <w:sz w:val="30"/>
          <w:szCs w:val="30"/>
          <w:highlight w:val="none"/>
          <w:lang w:val="en-US" w:eastAsia="zh-CN" w:bidi="ar-SA"/>
        </w:rPr>
        <w:t>0</w:t>
      </w:r>
      <w:r>
        <w:rPr>
          <w:rFonts w:hint="eastAsia" w:ascii="仿宋_GB2312" w:hAnsi="仿宋" w:eastAsia="仿宋_GB2312" w:cs="Times New Roman"/>
          <w:kern w:val="2"/>
          <w:sz w:val="30"/>
          <w:szCs w:val="30"/>
          <w:highlight w:val="none"/>
          <w:lang w:val="en-US" w:bidi="ar-SA"/>
        </w:rPr>
        <w:t>0-1</w:t>
      </w:r>
      <w:r>
        <w:rPr>
          <w:rFonts w:hint="eastAsia" w:hAnsi="仿宋" w:cs="Times New Roman"/>
          <w:kern w:val="2"/>
          <w:sz w:val="30"/>
          <w:szCs w:val="30"/>
          <w:highlight w:val="none"/>
          <w:lang w:val="en-US" w:eastAsia="zh-CN" w:bidi="ar-SA"/>
        </w:rPr>
        <w:t>5:3</w:t>
      </w:r>
      <w:r>
        <w:rPr>
          <w:rFonts w:hint="eastAsia" w:ascii="仿宋_GB2312" w:hAnsi="仿宋" w:eastAsia="仿宋_GB2312" w:cs="Times New Roman"/>
          <w:kern w:val="2"/>
          <w:sz w:val="30"/>
          <w:szCs w:val="30"/>
          <w:highlight w:val="none"/>
          <w:lang w:val="en-US" w:bidi="ar-SA"/>
        </w:rPr>
        <w:t>0</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 w:eastAsia="仿宋_GB2312" w:cs="Times New Roman"/>
          <w:kern w:val="2"/>
          <w:sz w:val="30"/>
          <w:szCs w:val="30"/>
          <w:highlight w:val="none"/>
          <w:lang w:val="en-US" w:eastAsia="zh-CN" w:bidi="ar-SA"/>
        </w:rPr>
      </w:pPr>
      <w:r>
        <w:rPr>
          <w:rFonts w:hint="eastAsia" w:ascii="仿宋_GB2312" w:hAnsi="仿宋" w:eastAsia="仿宋_GB2312" w:cs="Times New Roman"/>
          <w:kern w:val="2"/>
          <w:sz w:val="30"/>
          <w:szCs w:val="30"/>
          <w:highlight w:val="none"/>
          <w:lang w:val="en-US" w:bidi="ar-SA"/>
        </w:rPr>
        <w:t xml:space="preserve">  地点：</w:t>
      </w:r>
      <w:r>
        <w:rPr>
          <w:rFonts w:hint="eastAsia" w:hAnsi="仿宋" w:cs="Times New Roman"/>
          <w:kern w:val="2"/>
          <w:sz w:val="30"/>
          <w:szCs w:val="30"/>
          <w:highlight w:val="none"/>
          <w:lang w:val="en-US" w:eastAsia="zh-CN" w:bidi="ar-SA"/>
        </w:rPr>
        <w:t>7号楼1层第二报告厅</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highlight w:val="none"/>
          <w:lang w:val="en-US" w:bidi="ar-SA"/>
        </w:rPr>
      </w:pPr>
      <w:r>
        <w:rPr>
          <w:rFonts w:hint="eastAsia" w:hAnsi="仿宋" w:cs="Times New Roman"/>
          <w:b/>
          <w:bCs/>
          <w:kern w:val="2"/>
          <w:sz w:val="30"/>
          <w:szCs w:val="30"/>
          <w:highlight w:val="none"/>
          <w:lang w:val="en-US" w:eastAsia="zh-CN" w:bidi="ar-SA"/>
        </w:rPr>
        <w:t>3</w:t>
      </w:r>
      <w:r>
        <w:rPr>
          <w:rFonts w:hint="eastAsia" w:ascii="仿宋_GB2312" w:hAnsi="仿宋" w:eastAsia="仿宋_GB2312" w:cs="Times New Roman"/>
          <w:b/>
          <w:bCs/>
          <w:kern w:val="2"/>
          <w:sz w:val="30"/>
          <w:szCs w:val="30"/>
          <w:highlight w:val="none"/>
          <w:lang w:val="en-US" w:bidi="ar-SA"/>
        </w:rPr>
        <w:t>.选手熟悉场地</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highlight w:val="none"/>
          <w:lang w:val="en-US" w:bidi="ar-SA"/>
        </w:rPr>
      </w:pPr>
      <w:r>
        <w:rPr>
          <w:rFonts w:hint="eastAsia" w:ascii="仿宋_GB2312" w:hAnsi="仿宋" w:eastAsia="仿宋_GB2312" w:cs="Times New Roman"/>
          <w:kern w:val="2"/>
          <w:sz w:val="30"/>
          <w:szCs w:val="30"/>
          <w:highlight w:val="none"/>
          <w:lang w:val="en-US" w:bidi="ar-SA"/>
        </w:rPr>
        <w:t xml:space="preserve">  时间：2021年</w:t>
      </w:r>
      <w:r>
        <w:rPr>
          <w:rFonts w:hint="eastAsia" w:hAnsi="仿宋" w:cs="Times New Roman"/>
          <w:kern w:val="2"/>
          <w:sz w:val="30"/>
          <w:szCs w:val="30"/>
          <w:highlight w:val="none"/>
          <w:lang w:val="en-US" w:eastAsia="zh-CN" w:bidi="ar-SA"/>
        </w:rPr>
        <w:t>12</w:t>
      </w:r>
      <w:r>
        <w:rPr>
          <w:rFonts w:hint="eastAsia" w:ascii="仿宋_GB2312" w:hAnsi="仿宋" w:eastAsia="仿宋_GB2312" w:cs="Times New Roman"/>
          <w:kern w:val="2"/>
          <w:sz w:val="30"/>
          <w:szCs w:val="30"/>
          <w:highlight w:val="none"/>
          <w:lang w:val="en-US" w:bidi="ar-SA"/>
        </w:rPr>
        <w:t>月</w:t>
      </w:r>
      <w:r>
        <w:rPr>
          <w:rFonts w:hint="eastAsia" w:hAnsi="仿宋" w:cs="Times New Roman"/>
          <w:kern w:val="2"/>
          <w:sz w:val="30"/>
          <w:szCs w:val="30"/>
          <w:highlight w:val="none"/>
          <w:lang w:val="en-US" w:eastAsia="zh-CN" w:bidi="ar-SA"/>
        </w:rPr>
        <w:t>15</w:t>
      </w:r>
      <w:r>
        <w:rPr>
          <w:rFonts w:hint="eastAsia" w:ascii="仿宋_GB2312" w:hAnsi="仿宋" w:eastAsia="仿宋_GB2312" w:cs="Times New Roman"/>
          <w:kern w:val="2"/>
          <w:sz w:val="30"/>
          <w:szCs w:val="30"/>
          <w:highlight w:val="none"/>
          <w:lang w:val="en-US" w:bidi="ar-SA"/>
        </w:rPr>
        <w:t>日1</w:t>
      </w:r>
      <w:r>
        <w:rPr>
          <w:rFonts w:hint="eastAsia" w:hAnsi="仿宋" w:cs="Times New Roman"/>
          <w:kern w:val="2"/>
          <w:sz w:val="30"/>
          <w:szCs w:val="30"/>
          <w:highlight w:val="none"/>
          <w:lang w:val="en-US" w:eastAsia="zh-CN" w:bidi="ar-SA"/>
        </w:rPr>
        <w:t>5</w:t>
      </w:r>
      <w:r>
        <w:rPr>
          <w:rFonts w:hint="eastAsia" w:ascii="仿宋_GB2312" w:hAnsi="仿宋" w:eastAsia="仿宋_GB2312" w:cs="Times New Roman"/>
          <w:kern w:val="2"/>
          <w:sz w:val="30"/>
          <w:szCs w:val="30"/>
          <w:highlight w:val="none"/>
          <w:lang w:val="en-US" w:bidi="ar-SA"/>
        </w:rPr>
        <w:t>:</w:t>
      </w:r>
      <w:r>
        <w:rPr>
          <w:rFonts w:hint="eastAsia" w:hAnsi="仿宋" w:cs="Times New Roman"/>
          <w:kern w:val="2"/>
          <w:sz w:val="30"/>
          <w:szCs w:val="30"/>
          <w:highlight w:val="none"/>
          <w:lang w:val="en-US" w:eastAsia="zh-CN" w:bidi="ar-SA"/>
        </w:rPr>
        <w:t>3</w:t>
      </w:r>
      <w:r>
        <w:rPr>
          <w:rFonts w:hint="eastAsia" w:ascii="仿宋_GB2312" w:hAnsi="仿宋" w:eastAsia="仿宋_GB2312" w:cs="Times New Roman"/>
          <w:kern w:val="2"/>
          <w:sz w:val="30"/>
          <w:szCs w:val="30"/>
          <w:highlight w:val="none"/>
          <w:lang w:val="en-US" w:bidi="ar-SA"/>
        </w:rPr>
        <w:t>0-1</w:t>
      </w:r>
      <w:r>
        <w:rPr>
          <w:rFonts w:hint="eastAsia" w:hAnsi="仿宋" w:cs="Times New Roman"/>
          <w:kern w:val="2"/>
          <w:sz w:val="30"/>
          <w:szCs w:val="30"/>
          <w:highlight w:val="none"/>
          <w:lang w:val="en-US" w:eastAsia="zh-CN" w:bidi="ar-SA"/>
        </w:rPr>
        <w:t>6</w:t>
      </w:r>
      <w:r>
        <w:rPr>
          <w:rFonts w:hint="eastAsia" w:ascii="仿宋_GB2312" w:hAnsi="仿宋" w:eastAsia="仿宋_GB2312" w:cs="Times New Roman"/>
          <w:kern w:val="2"/>
          <w:sz w:val="30"/>
          <w:szCs w:val="30"/>
          <w:highlight w:val="none"/>
          <w:lang w:val="en-US" w:bidi="ar-SA"/>
        </w:rPr>
        <w:t>:</w:t>
      </w:r>
      <w:r>
        <w:rPr>
          <w:rFonts w:hint="eastAsia" w:hAnsi="仿宋" w:cs="Times New Roman"/>
          <w:kern w:val="2"/>
          <w:sz w:val="30"/>
          <w:szCs w:val="30"/>
          <w:highlight w:val="none"/>
          <w:lang w:val="en-US" w:eastAsia="zh-CN" w:bidi="ar-SA"/>
        </w:rPr>
        <w:t>0</w:t>
      </w:r>
      <w:r>
        <w:rPr>
          <w:rFonts w:hint="eastAsia" w:ascii="仿宋_GB2312" w:hAnsi="仿宋" w:eastAsia="仿宋_GB2312" w:cs="Times New Roman"/>
          <w:kern w:val="2"/>
          <w:sz w:val="30"/>
          <w:szCs w:val="30"/>
          <w:highlight w:val="none"/>
          <w:lang w:val="en-US" w:bidi="ar-SA"/>
        </w:rPr>
        <w:t>0</w:t>
      </w:r>
    </w:p>
    <w:p>
      <w:pPr>
        <w:pageBreakBefore w:val="0"/>
        <w:widowControl w:val="0"/>
        <w:kinsoku/>
        <w:wordWrap/>
        <w:overflowPunct/>
        <w:topLinePunct w:val="0"/>
        <w:bidi w:val="0"/>
        <w:adjustRightInd/>
        <w:snapToGrid/>
        <w:spacing w:line="560" w:lineRule="exact"/>
        <w:jc w:val="both"/>
        <w:textAlignment w:val="auto"/>
        <w:rPr>
          <w:rFonts w:hint="default" w:ascii="仿宋_GB2312" w:hAnsi="仿宋" w:eastAsia="仿宋_GB2312" w:cs="Times New Roman"/>
          <w:kern w:val="2"/>
          <w:sz w:val="30"/>
          <w:szCs w:val="30"/>
          <w:lang w:val="en-US" w:eastAsia="zh-CN" w:bidi="ar-SA"/>
        </w:rPr>
      </w:pPr>
      <w:r>
        <w:rPr>
          <w:rFonts w:hint="eastAsia" w:ascii="仿宋_GB2312" w:hAnsi="仿宋" w:eastAsia="仿宋_GB2312" w:cs="Times New Roman"/>
          <w:kern w:val="2"/>
          <w:sz w:val="30"/>
          <w:szCs w:val="30"/>
          <w:lang w:val="en-US" w:bidi="ar-SA"/>
        </w:rPr>
        <w:t xml:space="preserve">  地点：郑州铁路职业技术学院6号楼</w:t>
      </w:r>
      <w:r>
        <w:rPr>
          <w:rFonts w:hint="eastAsia" w:hAnsi="仿宋" w:cs="Times New Roman"/>
          <w:kern w:val="2"/>
          <w:sz w:val="30"/>
          <w:szCs w:val="30"/>
          <w:lang w:val="en-US" w:eastAsia="zh-CN" w:bidi="ar-SA"/>
        </w:rPr>
        <w:t>6</w:t>
      </w:r>
      <w:r>
        <w:rPr>
          <w:rFonts w:hint="eastAsia" w:ascii="仿宋_GB2312" w:hAnsi="仿宋" w:eastAsia="仿宋_GB2312" w:cs="Times New Roman"/>
          <w:kern w:val="2"/>
          <w:sz w:val="30"/>
          <w:szCs w:val="30"/>
          <w:lang w:val="en-US" w:bidi="ar-SA"/>
        </w:rPr>
        <w:t>层</w:t>
      </w:r>
      <w:r>
        <w:rPr>
          <w:rFonts w:hint="eastAsia" w:hAnsi="仿宋" w:cs="Times New Roman"/>
          <w:kern w:val="2"/>
          <w:sz w:val="30"/>
          <w:szCs w:val="30"/>
          <w:lang w:val="en-US" w:eastAsia="zh-CN" w:bidi="ar-SA"/>
        </w:rPr>
        <w:t>C区</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lang w:val="en-US" w:bidi="ar-SA"/>
        </w:rPr>
      </w:pPr>
      <w:r>
        <w:rPr>
          <w:rFonts w:hint="eastAsia" w:hAnsi="仿宋" w:cs="Times New Roman"/>
          <w:b/>
          <w:bCs/>
          <w:kern w:val="2"/>
          <w:sz w:val="30"/>
          <w:szCs w:val="30"/>
          <w:lang w:val="en-US" w:eastAsia="zh-CN" w:bidi="ar-SA"/>
        </w:rPr>
        <w:t>4</w:t>
      </w:r>
      <w:r>
        <w:rPr>
          <w:rFonts w:hint="eastAsia" w:ascii="仿宋_GB2312" w:hAnsi="仿宋" w:eastAsia="仿宋_GB2312" w:cs="Times New Roman"/>
          <w:b/>
          <w:bCs/>
          <w:kern w:val="2"/>
          <w:sz w:val="30"/>
          <w:szCs w:val="30"/>
          <w:lang w:val="en-US" w:bidi="ar-SA"/>
        </w:rPr>
        <w:t>.竞赛</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lang w:val="en-US" w:bidi="ar-SA"/>
        </w:rPr>
      </w:pPr>
      <w:r>
        <w:rPr>
          <w:rFonts w:hint="eastAsia" w:ascii="仿宋_GB2312" w:hAnsi="仿宋" w:eastAsia="仿宋_GB2312" w:cs="Times New Roman"/>
          <w:kern w:val="2"/>
          <w:sz w:val="30"/>
          <w:szCs w:val="30"/>
          <w:lang w:val="en-US" w:bidi="ar-SA"/>
        </w:rPr>
        <w:t xml:space="preserve">  时间：2021年</w:t>
      </w:r>
      <w:r>
        <w:rPr>
          <w:rFonts w:hint="eastAsia" w:hAnsi="仿宋" w:cs="Times New Roman"/>
          <w:kern w:val="2"/>
          <w:sz w:val="30"/>
          <w:szCs w:val="30"/>
          <w:lang w:val="en-US" w:eastAsia="zh-CN" w:bidi="ar-SA"/>
        </w:rPr>
        <w:t>12</w:t>
      </w:r>
      <w:r>
        <w:rPr>
          <w:rFonts w:hint="eastAsia" w:ascii="仿宋_GB2312" w:hAnsi="仿宋" w:eastAsia="仿宋_GB2312" w:cs="Times New Roman"/>
          <w:kern w:val="2"/>
          <w:sz w:val="30"/>
          <w:szCs w:val="30"/>
          <w:lang w:val="en-US" w:bidi="ar-SA"/>
        </w:rPr>
        <w:t>月</w:t>
      </w:r>
      <w:r>
        <w:rPr>
          <w:rFonts w:hint="eastAsia" w:hAnsi="仿宋" w:cs="Times New Roman"/>
          <w:kern w:val="2"/>
          <w:sz w:val="30"/>
          <w:szCs w:val="30"/>
          <w:lang w:val="en-US" w:eastAsia="zh-CN" w:bidi="ar-SA"/>
        </w:rPr>
        <w:t>16</w:t>
      </w:r>
      <w:r>
        <w:rPr>
          <w:rFonts w:hint="eastAsia" w:ascii="仿宋_GB2312" w:hAnsi="仿宋" w:eastAsia="仿宋_GB2312" w:cs="Times New Roman"/>
          <w:kern w:val="2"/>
          <w:sz w:val="30"/>
          <w:szCs w:val="30"/>
          <w:lang w:val="en-US" w:bidi="ar-SA"/>
        </w:rPr>
        <w:t>日全天</w:t>
      </w:r>
    </w:p>
    <w:p>
      <w:pPr>
        <w:pageBreakBefore w:val="0"/>
        <w:widowControl w:val="0"/>
        <w:kinsoku/>
        <w:wordWrap/>
        <w:overflowPunct/>
        <w:topLinePunct w:val="0"/>
        <w:bidi w:val="0"/>
        <w:adjustRightInd/>
        <w:snapToGrid/>
        <w:spacing w:line="560" w:lineRule="exact"/>
        <w:jc w:val="both"/>
        <w:textAlignment w:val="auto"/>
        <w:rPr>
          <w:rFonts w:hint="eastAsia" w:hAnsi="仿宋" w:cs="Times New Roman"/>
          <w:kern w:val="2"/>
          <w:sz w:val="28"/>
          <w:szCs w:val="28"/>
          <w:lang w:val="en-US" w:eastAsia="zh-CN" w:bidi="ar-SA"/>
        </w:rPr>
      </w:pPr>
      <w:r>
        <w:rPr>
          <w:rFonts w:hint="eastAsia" w:ascii="仿宋_GB2312" w:hAnsi="仿宋" w:eastAsia="仿宋_GB2312" w:cs="Times New Roman"/>
          <w:kern w:val="2"/>
          <w:sz w:val="30"/>
          <w:szCs w:val="30"/>
          <w:lang w:val="en-US" w:bidi="ar-SA"/>
        </w:rPr>
        <w:t xml:space="preserve">  地点：郑州铁路职业技术学院6号楼</w:t>
      </w:r>
      <w:r>
        <w:rPr>
          <w:rFonts w:hint="eastAsia" w:hAnsi="仿宋" w:cs="Times New Roman"/>
          <w:kern w:val="2"/>
          <w:sz w:val="30"/>
          <w:szCs w:val="30"/>
          <w:lang w:val="en-US" w:eastAsia="zh-CN" w:bidi="ar-SA"/>
        </w:rPr>
        <w:t>6</w:t>
      </w:r>
      <w:r>
        <w:rPr>
          <w:rFonts w:hint="eastAsia" w:ascii="仿宋_GB2312" w:hAnsi="仿宋" w:eastAsia="仿宋_GB2312" w:cs="Times New Roman"/>
          <w:kern w:val="2"/>
          <w:sz w:val="30"/>
          <w:szCs w:val="30"/>
          <w:lang w:val="en-US" w:bidi="ar-SA"/>
        </w:rPr>
        <w:t>层</w:t>
      </w:r>
      <w:r>
        <w:rPr>
          <w:rFonts w:hint="eastAsia" w:hAnsi="仿宋" w:cs="Times New Roman"/>
          <w:kern w:val="2"/>
          <w:sz w:val="30"/>
          <w:szCs w:val="30"/>
          <w:lang w:val="en-US" w:eastAsia="zh-CN" w:bidi="ar-SA"/>
        </w:rPr>
        <w:t>C区</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lang w:val="en-US"/>
        </w:rPr>
      </w:pPr>
      <w:r>
        <w:rPr>
          <w:rFonts w:hint="eastAsia"/>
          <w:lang w:val="en-US" w:eastAsia="zh-CN"/>
        </w:rPr>
        <w:t>十八、赛项安全及其他说明</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  1.赛事安全是技能竞赛一切工作顺利开展的先决条件，是赛事筹备和运行工作必须考虑的核心问题。承办院校采取切实有效措施保证大赛期间参赛选手、指导教师、裁判员、工作人员的人身安全，参赛人员严格按省教育厅和承办校要求做好赛事安全工作。</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  2.为做好常态化疫情防控，需要对各参赛队进行体温检测和行程监测。所有参赛队员及指导教师体温低于37.3℃且显示绿色健康码方可入校。参赛队需按省教育厅、属地和学校要求，做好新冠疫情防控工作，严格执行省教育厅、属地和学校疫情防控各项规定和突发事件处理办法。</w:t>
      </w:r>
    </w:p>
    <w:p>
      <w:pPr>
        <w:pageBreakBefore w:val="0"/>
        <w:widowControl w:val="0"/>
        <w:kinsoku/>
        <w:wordWrap/>
        <w:overflowPunct/>
        <w:topLinePunct w:val="0"/>
        <w:bidi w:val="0"/>
        <w:adjustRightInd/>
        <w:snapToGrid/>
        <w:spacing w:line="560" w:lineRule="exact"/>
        <w:ind w:firstLine="900" w:firstLineChars="300"/>
        <w:jc w:val="both"/>
        <w:textAlignment w:val="auto"/>
        <w:rPr>
          <w:rFonts w:hint="eastAsia" w:ascii="仿宋" w:hAnsi="仿宋" w:eastAsia="仿宋" w:cs="仿宋"/>
          <w:kern w:val="2"/>
          <w:sz w:val="30"/>
          <w:szCs w:val="30"/>
          <w:u w:val="double"/>
          <w:lang w:val="en-US" w:eastAsia="zh-CN" w:bidi="ar-SA"/>
        </w:rPr>
      </w:pPr>
      <w:r>
        <w:rPr>
          <w:rFonts w:hint="eastAsia" w:ascii="仿宋" w:hAnsi="仿宋" w:eastAsia="仿宋" w:cs="仿宋"/>
          <w:kern w:val="2"/>
          <w:sz w:val="30"/>
          <w:szCs w:val="30"/>
          <w:lang w:val="en-US" w:eastAsia="zh-CN" w:bidi="ar-SA"/>
        </w:rPr>
        <w:t>3.</w:t>
      </w:r>
      <w:r>
        <w:rPr>
          <w:rFonts w:hint="eastAsia" w:ascii="仿宋" w:hAnsi="仿宋" w:eastAsia="仿宋" w:cs="仿宋"/>
          <w:kern w:val="2"/>
          <w:sz w:val="30"/>
          <w:szCs w:val="30"/>
          <w:u w:val="double"/>
          <w:lang w:val="en-US" w:eastAsia="zh-CN" w:bidi="ar-SA"/>
        </w:rPr>
        <w:t>各校报到时需出示健康码（绿码）、行程卡（绿码）、需提供</w:t>
      </w:r>
      <w:r>
        <w:rPr>
          <w:rFonts w:hint="eastAsia" w:ascii="仿宋" w:hAnsi="仿宋" w:eastAsia="仿宋" w:cs="仿宋"/>
          <w:kern w:val="2"/>
          <w:sz w:val="30"/>
          <w:szCs w:val="30"/>
          <w:u w:val="double"/>
          <w:lang w:eastAsia="zh-CN" w:bidi="ar-SA"/>
        </w:rPr>
        <w:t>来校人员48小时内核酸检测</w:t>
      </w:r>
      <w:r>
        <w:rPr>
          <w:rFonts w:hint="eastAsia" w:ascii="仿宋" w:hAnsi="仿宋" w:eastAsia="仿宋" w:cs="仿宋"/>
          <w:kern w:val="2"/>
          <w:sz w:val="30"/>
          <w:szCs w:val="30"/>
          <w:u w:val="double"/>
          <w:lang w:val="en-US" w:eastAsia="zh-CN" w:bidi="ar-SA"/>
        </w:rPr>
        <w:t>阴性证明（纸质版或者电子版复印件）</w:t>
      </w:r>
      <w:r>
        <w:rPr>
          <w:rFonts w:hint="eastAsia" w:ascii="仿宋" w:hAnsi="仿宋" w:eastAsia="仿宋" w:cs="仿宋"/>
          <w:kern w:val="2"/>
          <w:sz w:val="30"/>
          <w:szCs w:val="30"/>
          <w:u w:val="double"/>
          <w:lang w:eastAsia="zh-CN" w:bidi="ar-SA"/>
        </w:rPr>
        <w:t>和</w:t>
      </w:r>
      <w:r>
        <w:rPr>
          <w:rFonts w:hint="eastAsia" w:ascii="仿宋" w:hAnsi="仿宋" w:eastAsia="仿宋" w:cs="仿宋"/>
          <w:kern w:val="2"/>
          <w:sz w:val="30"/>
          <w:szCs w:val="30"/>
          <w:u w:val="double"/>
          <w:lang w:val="en-US" w:eastAsia="zh-CN" w:bidi="ar-SA"/>
        </w:rPr>
        <w:t>盖单位公章的纸质版“健康证明”</w:t>
      </w:r>
      <w:r>
        <w:rPr>
          <w:rFonts w:hint="eastAsia" w:ascii="仿宋" w:hAnsi="仿宋" w:eastAsia="仿宋" w:cs="仿宋"/>
          <w:kern w:val="2"/>
          <w:sz w:val="30"/>
          <w:szCs w:val="30"/>
          <w:u w:val="double"/>
          <w:lang w:eastAsia="zh-CN" w:bidi="ar-SA"/>
        </w:rPr>
        <w:t>。</w:t>
      </w:r>
      <w:r>
        <w:rPr>
          <w:rFonts w:hint="eastAsia" w:ascii="仿宋" w:hAnsi="仿宋" w:eastAsia="仿宋" w:cs="仿宋"/>
          <w:kern w:val="2"/>
          <w:sz w:val="30"/>
          <w:szCs w:val="30"/>
          <w:u w:val="double"/>
          <w:lang w:val="en-US" w:eastAsia="zh-CN" w:bidi="ar-SA"/>
        </w:rPr>
        <w:t>“健康证明”上需体现出近14天是否</w:t>
      </w:r>
      <w:r>
        <w:rPr>
          <w:rFonts w:hint="eastAsia" w:ascii="仿宋" w:hAnsi="仿宋" w:eastAsia="仿宋" w:cs="仿宋"/>
          <w:kern w:val="2"/>
          <w:sz w:val="30"/>
          <w:szCs w:val="30"/>
          <w:u w:val="double"/>
          <w:lang w:eastAsia="zh-CN" w:bidi="ar-SA"/>
        </w:rPr>
        <w:t>去过中高风险地区，</w:t>
      </w:r>
      <w:r>
        <w:rPr>
          <w:rFonts w:hint="eastAsia" w:ascii="仿宋" w:hAnsi="仿宋" w:eastAsia="仿宋" w:cs="仿宋"/>
          <w:kern w:val="2"/>
          <w:sz w:val="30"/>
          <w:szCs w:val="30"/>
          <w:u w:val="double"/>
          <w:lang w:val="en-US" w:eastAsia="zh-CN" w:bidi="ar-SA"/>
        </w:rPr>
        <w:t>是否与新冠肺炎确诊病例或疑似病例</w:t>
      </w:r>
      <w:r>
        <w:rPr>
          <w:rFonts w:hint="eastAsia" w:ascii="仿宋" w:hAnsi="仿宋" w:eastAsia="仿宋" w:cs="仿宋"/>
          <w:kern w:val="2"/>
          <w:sz w:val="30"/>
          <w:szCs w:val="30"/>
          <w:u w:val="double"/>
          <w:lang w:eastAsia="zh-CN" w:bidi="ar-SA"/>
        </w:rPr>
        <w:t>有</w:t>
      </w:r>
      <w:r>
        <w:rPr>
          <w:rFonts w:hint="eastAsia" w:ascii="仿宋" w:hAnsi="仿宋" w:eastAsia="仿宋" w:cs="仿宋"/>
          <w:kern w:val="2"/>
          <w:sz w:val="30"/>
          <w:szCs w:val="30"/>
          <w:u w:val="double"/>
          <w:lang w:val="en-US" w:eastAsia="zh-CN" w:bidi="ar-SA"/>
        </w:rPr>
        <w:t>密切接触，是否与来自中高风险地区人员有密切接触，是否有发热、咳嗽、乏力、胸闷等</w:t>
      </w:r>
      <w:r>
        <w:rPr>
          <w:rFonts w:hint="eastAsia" w:ascii="仿宋" w:hAnsi="仿宋" w:eastAsia="仿宋" w:cs="仿宋"/>
          <w:kern w:val="2"/>
          <w:sz w:val="30"/>
          <w:szCs w:val="30"/>
          <w:u w:val="double"/>
          <w:lang w:eastAsia="zh-CN" w:bidi="ar-SA"/>
        </w:rPr>
        <w:t>疑似</w:t>
      </w:r>
      <w:r>
        <w:rPr>
          <w:rFonts w:hint="eastAsia" w:ascii="仿宋" w:hAnsi="仿宋" w:eastAsia="仿宋" w:cs="仿宋"/>
          <w:kern w:val="2"/>
          <w:sz w:val="30"/>
          <w:szCs w:val="30"/>
          <w:u w:val="double"/>
          <w:lang w:val="en-US" w:eastAsia="zh-CN" w:bidi="ar-SA"/>
        </w:rPr>
        <w:t>症状；</w:t>
      </w:r>
      <w:r>
        <w:rPr>
          <w:rFonts w:hint="eastAsia" w:ascii="仿宋" w:hAnsi="仿宋" w:eastAsia="仿宋" w:cs="仿宋"/>
          <w:kern w:val="2"/>
          <w:sz w:val="30"/>
          <w:szCs w:val="30"/>
          <w:u w:val="double"/>
          <w:lang w:eastAsia="zh-CN" w:bidi="ar-SA"/>
        </w:rPr>
        <w:t>健康证明上</w:t>
      </w:r>
      <w:r>
        <w:rPr>
          <w:rFonts w:hint="eastAsia" w:ascii="仿宋" w:hAnsi="仿宋" w:eastAsia="仿宋" w:cs="仿宋"/>
          <w:kern w:val="2"/>
          <w:sz w:val="30"/>
          <w:szCs w:val="30"/>
          <w:u w:val="double"/>
          <w:lang w:val="en-US" w:eastAsia="zh-CN" w:bidi="ar-SA"/>
        </w:rPr>
        <w:t>列出</w:t>
      </w:r>
      <w:r>
        <w:rPr>
          <w:rFonts w:hint="eastAsia" w:ascii="仿宋" w:hAnsi="仿宋" w:eastAsia="仿宋" w:cs="仿宋"/>
          <w:kern w:val="2"/>
          <w:sz w:val="30"/>
          <w:szCs w:val="30"/>
          <w:u w:val="double"/>
          <w:lang w:eastAsia="zh-CN" w:bidi="ar-SA"/>
        </w:rPr>
        <w:t>来校</w:t>
      </w:r>
      <w:r>
        <w:rPr>
          <w:rFonts w:hint="eastAsia" w:ascii="仿宋" w:hAnsi="仿宋" w:eastAsia="仿宋" w:cs="仿宋"/>
          <w:kern w:val="2"/>
          <w:sz w:val="30"/>
          <w:szCs w:val="30"/>
          <w:u w:val="double"/>
          <w:lang w:val="en-US" w:eastAsia="zh-CN" w:bidi="ar-SA"/>
        </w:rPr>
        <w:t>人员（包括指导教师、参赛学生及随行人员）姓名、身份证号、手机号等信息。</w:t>
      </w:r>
    </w:p>
    <w:p>
      <w:pPr>
        <w:pageBreakBefore w:val="0"/>
        <w:widowControl w:val="0"/>
        <w:kinsoku/>
        <w:wordWrap/>
        <w:overflowPunct/>
        <w:topLinePunct w:val="0"/>
        <w:bidi w:val="0"/>
        <w:adjustRightInd/>
        <w:snapToGrid/>
        <w:spacing w:line="560" w:lineRule="exact"/>
        <w:jc w:val="both"/>
        <w:textAlignment w:val="auto"/>
        <w:rPr>
          <w:rFonts w:hint="default" w:hAnsi="仿宋" w:cs="Times New Roman"/>
          <w:kern w:val="2"/>
          <w:sz w:val="28"/>
          <w:szCs w:val="28"/>
          <w:lang w:val="en-US" w:eastAsia="zh-CN" w:bidi="ar-SA"/>
        </w:rPr>
      </w:pPr>
      <w:r>
        <w:rPr>
          <w:rFonts w:hint="eastAsia" w:ascii="仿宋" w:hAnsi="仿宋" w:eastAsia="仿宋" w:cs="仿宋"/>
          <w:kern w:val="2"/>
          <w:sz w:val="30"/>
          <w:szCs w:val="30"/>
          <w:lang w:val="en-US" w:bidi="ar-SA"/>
        </w:rPr>
        <w:t xml:space="preserve">  </w:t>
      </w:r>
      <w:r>
        <w:rPr>
          <w:rFonts w:hint="eastAsia" w:ascii="仿宋" w:hAnsi="仿宋" w:eastAsia="仿宋" w:cs="仿宋"/>
          <w:kern w:val="2"/>
          <w:sz w:val="30"/>
          <w:szCs w:val="30"/>
          <w:lang w:val="en-US" w:eastAsia="zh-CN" w:bidi="ar-SA"/>
        </w:rPr>
        <w:t>4</w:t>
      </w:r>
      <w:r>
        <w:rPr>
          <w:rFonts w:hint="eastAsia" w:ascii="仿宋" w:hAnsi="仿宋" w:eastAsia="仿宋" w:cs="仿宋"/>
          <w:kern w:val="2"/>
          <w:sz w:val="30"/>
          <w:szCs w:val="30"/>
          <w:lang w:val="en-US" w:bidi="ar-SA"/>
        </w:rPr>
        <w:t>.参赛队交通、食宿等费用由派出单位自行负责，推荐住宿地：郑州铁路职业技术学院</w:t>
      </w:r>
      <w:r>
        <w:rPr>
          <w:rFonts w:hint="eastAsia" w:ascii="仿宋" w:hAnsi="仿宋" w:eastAsia="仿宋" w:cs="仿宋"/>
          <w:color w:val="auto"/>
          <w:kern w:val="2"/>
          <w:sz w:val="30"/>
          <w:szCs w:val="30"/>
          <w:highlight w:val="none"/>
          <w:lang w:val="en-US" w:bidi="ar-SA"/>
        </w:rPr>
        <w:t>舒雅楼（前台联系人：张经理，</w:t>
      </w:r>
      <w:r>
        <w:rPr>
          <w:rFonts w:hint="eastAsia" w:ascii="仿宋" w:hAnsi="仿宋" w:eastAsia="仿宋" w:cs="仿宋"/>
          <w:color w:val="auto"/>
          <w:kern w:val="2"/>
          <w:sz w:val="30"/>
          <w:szCs w:val="30"/>
          <w:highlight w:val="none"/>
          <w:lang w:val="en-US" w:eastAsia="zh-CN" w:bidi="ar-SA"/>
        </w:rPr>
        <w:t>固定电话：037156855599,手机:</w:t>
      </w:r>
      <w:r>
        <w:rPr>
          <w:rFonts w:hint="eastAsia" w:ascii="仿宋" w:hAnsi="仿宋" w:eastAsia="仿宋" w:cs="仿宋"/>
          <w:color w:val="auto"/>
          <w:kern w:val="2"/>
          <w:sz w:val="30"/>
          <w:szCs w:val="30"/>
          <w:highlight w:val="none"/>
          <w:lang w:val="en-US" w:bidi="ar-SA"/>
        </w:rPr>
        <w:t>15565795969）</w:t>
      </w:r>
      <w:r>
        <w:rPr>
          <w:rFonts w:hint="eastAsia" w:ascii="仿宋" w:hAnsi="仿宋" w:eastAsia="仿宋" w:cs="仿宋"/>
          <w:kern w:val="2"/>
          <w:sz w:val="30"/>
          <w:szCs w:val="30"/>
          <w:lang w:val="en-US" w:bidi="ar-SA"/>
        </w:rPr>
        <w:t>。</w:t>
      </w:r>
      <w:r>
        <w:rPr>
          <w:rFonts w:hint="eastAsia" w:ascii="仿宋" w:hAnsi="仿宋" w:eastAsia="仿宋" w:cs="仿宋"/>
          <w:kern w:val="2"/>
          <w:sz w:val="30"/>
          <w:szCs w:val="30"/>
          <w:lang w:val="en-US" w:eastAsia="zh-CN" w:bidi="ar-SA"/>
        </w:rPr>
        <w:t>各参赛队也可以在学校附近自行安排住宿。</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rPr>
      </w:pPr>
      <w:r>
        <w:rPr>
          <w:rFonts w:hint="eastAsia"/>
          <w:lang w:val="en-US" w:eastAsia="zh-CN"/>
        </w:rPr>
        <w:t>十九、</w:t>
      </w:r>
      <w:r>
        <w:rPr>
          <w:rFonts w:hint="eastAsia"/>
        </w:rPr>
        <w:t>竞赛赛卷</w:t>
      </w:r>
    </w:p>
    <w:p>
      <w:pPr>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仿宋_GB2312" w:hAnsi="仿宋" w:eastAsia="仿宋_GB2312" w:cs="Times New Roman"/>
          <w:kern w:val="2"/>
          <w:sz w:val="30"/>
          <w:szCs w:val="30"/>
          <w:lang w:val="en-US" w:bidi="ar-SA"/>
        </w:rPr>
      </w:pPr>
      <w:r>
        <w:rPr>
          <w:rFonts w:hint="eastAsia" w:ascii="仿宋_GB2312" w:hAnsi="仿宋" w:eastAsia="仿宋_GB2312" w:cs="Times New Roman"/>
          <w:kern w:val="2"/>
          <w:sz w:val="30"/>
          <w:szCs w:val="30"/>
          <w:lang w:val="en-US" w:bidi="ar-SA"/>
        </w:rPr>
        <w:t>竞赛赛卷的样卷可参考附件。</w:t>
      </w:r>
    </w:p>
    <w:p>
      <w:pPr>
        <w:widowControl/>
        <w:spacing w:line="240" w:lineRule="auto"/>
        <w:ind w:firstLine="0" w:firstLineChars="0"/>
        <w:jc w:val="left"/>
      </w:pPr>
    </w:p>
    <w:p>
      <w:pPr>
        <w:widowControl/>
        <w:spacing w:line="240" w:lineRule="auto"/>
        <w:ind w:firstLine="0" w:firstLineChars="0"/>
        <w:jc w:val="left"/>
      </w:pPr>
    </w:p>
    <w:p>
      <w:pPr>
        <w:ind w:firstLine="0" w:firstLineChars="0"/>
        <w:rPr>
          <w:rFonts w:hint="eastAsia"/>
          <w:b/>
        </w:rPr>
      </w:pPr>
    </w:p>
    <w:p>
      <w:pPr>
        <w:ind w:firstLine="0" w:firstLineChars="0"/>
        <w:rPr>
          <w:rFonts w:hint="eastAsia"/>
          <w:b/>
        </w:rPr>
      </w:pPr>
    </w:p>
    <w:p>
      <w:pPr>
        <w:ind w:firstLine="0" w:firstLineChars="0"/>
        <w:rPr>
          <w:rFonts w:hint="eastAsia"/>
          <w:b/>
        </w:rPr>
      </w:pPr>
    </w:p>
    <w:p>
      <w:pPr>
        <w:ind w:firstLine="0" w:firstLineChars="0"/>
        <w:rPr>
          <w:rFonts w:hint="eastAsia"/>
          <w:b/>
          <w:lang w:eastAsia="zh-CN"/>
        </w:rPr>
      </w:pPr>
      <w:r>
        <w:rPr>
          <w:rFonts w:hint="eastAsia"/>
          <w:b/>
        </w:rPr>
        <w:t>附</w:t>
      </w:r>
      <w:r>
        <w:rPr>
          <w:rFonts w:hint="eastAsia"/>
          <w:b/>
          <w:lang w:val="en-US" w:eastAsia="zh-CN"/>
        </w:rPr>
        <w:t>件</w:t>
      </w:r>
      <w:r>
        <w:rPr>
          <w:rFonts w:hint="eastAsia"/>
          <w:b/>
          <w:lang w:eastAsia="zh-CN"/>
        </w:rPr>
        <w:t>：</w:t>
      </w:r>
    </w:p>
    <w:p>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竞赛试题样卷</w:t>
      </w:r>
    </w:p>
    <w:p>
      <w:pPr>
        <w:snapToGrid w:val="0"/>
        <w:spacing w:before="312" w:beforeLines="100" w:line="560" w:lineRule="exact"/>
        <w:ind w:firstLine="560"/>
        <w:rPr>
          <w:rFonts w:hAnsi="仿宋_GB2312" w:cs="仿宋_GB2312"/>
          <w:bCs/>
          <w:szCs w:val="28"/>
        </w:rPr>
      </w:pPr>
      <w:r>
        <w:rPr>
          <w:rFonts w:hint="eastAsia" w:hAnsi="仿宋_GB2312" w:cs="仿宋_GB2312"/>
          <w:bCs/>
          <w:szCs w:val="28"/>
        </w:rPr>
        <w:t>本赛卷包括嵌入式系统硬件制作与驱动开发、嵌入式应用程序开发及嵌入式边缘计算应用开发两个模块。第一模块要求参赛选手在规定时间内焊接、调试一套竞赛现场下发的功能电路板，并完成嵌入式驱动程序设计和编写，使之能实现相应功能验证。第二模块要求选手在规定时间内根据现场下发的竞赛赛题，进行嵌入式应用、嵌入式人工智能与边缘计算应用程序开发，使之能够自动控制主竞赛平台（在后文中简称为主车）与从竞赛平台（在后文中简称为从车）完成相应赛道任务。</w:t>
      </w:r>
    </w:p>
    <w:p>
      <w:pPr>
        <w:snapToGrid w:val="0"/>
        <w:spacing w:before="312" w:beforeLines="100" w:line="560" w:lineRule="exact"/>
        <w:ind w:firstLine="602"/>
        <w:jc w:val="center"/>
        <w:rPr>
          <w:rFonts w:hAnsi="仿宋_GB2312" w:eastAsia="黑体" w:cs="仿宋_GB2312"/>
          <w:bCs/>
          <w:sz w:val="30"/>
          <w:szCs w:val="30"/>
        </w:rPr>
      </w:pPr>
      <w:r>
        <w:rPr>
          <w:rFonts w:hint="eastAsia" w:ascii="黑体" w:hAnsi="黑体" w:eastAsia="黑体" w:cs="黑体"/>
          <w:b/>
          <w:sz w:val="30"/>
          <w:szCs w:val="30"/>
        </w:rPr>
        <w:t>第一模块 嵌入式系统硬件制作与驱动开发</w:t>
      </w:r>
    </w:p>
    <w:p>
      <w:pPr>
        <w:pStyle w:val="23"/>
      </w:pPr>
      <w:r>
        <w:rPr>
          <w:rFonts w:hint="eastAsia"/>
        </w:rPr>
        <w:t>一、竞赛要求</w:t>
      </w:r>
    </w:p>
    <w:p>
      <w:pPr>
        <w:snapToGrid w:val="0"/>
        <w:spacing w:line="560" w:lineRule="exact"/>
        <w:ind w:firstLine="560"/>
        <w:rPr>
          <w:rFonts w:hAnsi="仿宋_GB2312" w:cs="仿宋_GB2312"/>
          <w:bCs/>
          <w:szCs w:val="28"/>
        </w:rPr>
      </w:pPr>
      <w:r>
        <w:rPr>
          <w:rFonts w:hint="eastAsia" w:hAnsi="仿宋_GB2312" w:cs="仿宋_GB2312"/>
          <w:bCs/>
          <w:szCs w:val="28"/>
        </w:rPr>
        <w:t>竞赛现场下发功能电路板焊接套件（含带故障的PCB空板与元器件）、嵌入式最小系统板（基于STM32F407，下同）及相关技术资料（电路原理图、器件位置图、物料清单、器件手册等）。参赛选手需在规定时间内，按照安全操作规范与电子产品制作工艺要求，焊接、调试该功能电路板，完成硬件制作，使其功能正常，设计相应的嵌入式驱动程序并进行功能验证。</w:t>
      </w:r>
    </w:p>
    <w:p>
      <w:pPr>
        <w:pStyle w:val="23"/>
      </w:pPr>
      <w:r>
        <w:rPr>
          <w:rFonts w:hint="eastAsia"/>
        </w:rPr>
        <w:t>二、竞赛内容</w:t>
      </w:r>
    </w:p>
    <w:p>
      <w:pPr>
        <w:spacing w:line="560" w:lineRule="exact"/>
        <w:ind w:firstLine="560"/>
        <w:rPr>
          <w:rFonts w:hAnsi="仿宋_GB2312" w:cs="仿宋_GB2312"/>
          <w:bCs/>
          <w:szCs w:val="28"/>
        </w:rPr>
      </w:pPr>
      <w:r>
        <w:rPr>
          <w:rFonts w:hint="eastAsia" w:hAnsi="仿宋_GB2312" w:cs="仿宋_GB2312"/>
          <w:bCs/>
          <w:szCs w:val="28"/>
        </w:rPr>
        <w:t>（一）元器件检测</w:t>
      </w:r>
    </w:p>
    <w:p>
      <w:pPr>
        <w:spacing w:line="560" w:lineRule="exact"/>
        <w:ind w:firstLine="560"/>
        <w:rPr>
          <w:rFonts w:hAnsi="仿宋_GB2312" w:cs="仿宋_GB2312"/>
          <w:bCs/>
          <w:szCs w:val="28"/>
        </w:rPr>
      </w:pPr>
      <w:r>
        <w:rPr>
          <w:rFonts w:hint="eastAsia" w:hAnsi="仿宋_GB2312" w:cs="仿宋_GB2312"/>
          <w:bCs/>
          <w:szCs w:val="28"/>
        </w:rPr>
        <w:t>参赛选手须参照物料清单进行元器件的辨识、分拣和检测。</w:t>
      </w:r>
    </w:p>
    <w:p>
      <w:pPr>
        <w:spacing w:line="560" w:lineRule="exact"/>
        <w:ind w:firstLine="560"/>
        <w:rPr>
          <w:rFonts w:hAnsi="仿宋_GB2312" w:cs="仿宋_GB2312"/>
          <w:bCs/>
          <w:szCs w:val="28"/>
          <w:highlight w:val="none"/>
        </w:rPr>
      </w:pPr>
      <w:r>
        <w:rPr>
          <w:rFonts w:hint="eastAsia" w:hAnsi="仿宋_GB2312" w:cs="仿宋_GB2312"/>
          <w:bCs/>
          <w:szCs w:val="28"/>
        </w:rPr>
        <w:t>本赛题所涉及的元器件种类仅限于：电阻、电容、电感、二极管、三极管、MOS管、电位器、LED发光二极管、555芯片、晶振、CMOS逻辑门、集成运放、集成稳压块、接口座子、测量端子、光强度传感器、光</w:t>
      </w:r>
      <w:r>
        <w:rPr>
          <w:rFonts w:hint="eastAsia" w:hAnsi="仿宋_GB2312" w:cs="仿宋_GB2312"/>
          <w:bCs/>
          <w:szCs w:val="28"/>
          <w:highlight w:val="none"/>
        </w:rPr>
        <w:t>敏电阻、</w:t>
      </w:r>
      <w:r>
        <w:rPr>
          <w:rFonts w:hint="eastAsia" w:hAnsi="仿宋_GB2312" w:cs="仿宋_GB2312"/>
          <w:bCs/>
          <w:szCs w:val="28"/>
          <w:highlight w:val="none"/>
          <w:lang w:eastAsia="zh-CN"/>
        </w:rPr>
        <w:t>颜色识别传感器、</w:t>
      </w:r>
      <w:r>
        <w:rPr>
          <w:rFonts w:hint="eastAsia" w:hAnsi="仿宋_GB2312" w:cs="仿宋_GB2312"/>
          <w:bCs/>
          <w:szCs w:val="28"/>
          <w:highlight w:val="none"/>
        </w:rPr>
        <w:t>超声波传感器、</w:t>
      </w:r>
      <w:r>
        <w:rPr>
          <w:rFonts w:hint="eastAsia" w:hAnsi="仿宋_GB2312" w:cs="仿宋_GB2312"/>
          <w:bCs/>
          <w:szCs w:val="28"/>
          <w:highlight w:val="none"/>
          <w:lang w:eastAsia="zh-CN"/>
        </w:rPr>
        <w:t>手势识别传感器、</w:t>
      </w:r>
      <w:r>
        <w:rPr>
          <w:rFonts w:hint="eastAsia" w:hAnsi="仿宋_GB2312" w:cs="仿宋_GB2312"/>
          <w:bCs/>
          <w:szCs w:val="28"/>
          <w:highlight w:val="none"/>
        </w:rPr>
        <w:t>声音传感器、</w:t>
      </w:r>
      <w:r>
        <w:rPr>
          <w:rFonts w:hint="eastAsia" w:hAnsi="仿宋_GB2312" w:cs="仿宋_GB2312"/>
          <w:bCs/>
          <w:szCs w:val="28"/>
          <w:highlight w:val="none"/>
          <w:lang w:eastAsia="zh-CN"/>
        </w:rPr>
        <w:t>心率血氧浓度传感器、</w:t>
      </w:r>
      <w:r>
        <w:rPr>
          <w:rFonts w:hint="eastAsia" w:hAnsi="仿宋_GB2312" w:cs="仿宋_GB2312"/>
          <w:bCs/>
          <w:szCs w:val="28"/>
          <w:highlight w:val="none"/>
        </w:rPr>
        <w:t>红外传感器、</w:t>
      </w:r>
      <w:r>
        <w:rPr>
          <w:rFonts w:hint="eastAsia" w:hAnsi="仿宋_GB2312" w:cs="仿宋_GB2312"/>
          <w:bCs/>
          <w:color w:val="auto"/>
          <w:szCs w:val="28"/>
          <w:highlight w:val="none"/>
        </w:rPr>
        <w:t>温</w:t>
      </w:r>
      <w:r>
        <w:rPr>
          <w:rFonts w:hint="eastAsia" w:hAnsi="仿宋_GB2312" w:cs="仿宋_GB2312"/>
          <w:bCs/>
          <w:color w:val="auto"/>
          <w:szCs w:val="28"/>
          <w:highlight w:val="none"/>
          <w:lang w:eastAsia="zh-CN"/>
        </w:rPr>
        <w:t>湿</w:t>
      </w:r>
      <w:r>
        <w:rPr>
          <w:rFonts w:hint="eastAsia" w:hAnsi="仿宋_GB2312" w:cs="仿宋_GB2312"/>
          <w:bCs/>
          <w:color w:val="auto"/>
          <w:szCs w:val="28"/>
          <w:highlight w:val="none"/>
        </w:rPr>
        <w:t>度传感器</w:t>
      </w:r>
      <w:r>
        <w:rPr>
          <w:rFonts w:hint="eastAsia" w:hAnsi="仿宋_GB2312" w:cs="仿宋_GB2312"/>
          <w:bCs/>
          <w:szCs w:val="28"/>
          <w:highlight w:val="none"/>
        </w:rPr>
        <w:t>、加速度传感器、射频识别标签、语音单元、OLED显示单元、解调芯片、蜂鸣器、扬声器、数码管、模拟开关、拨动开关、按键。</w:t>
      </w:r>
    </w:p>
    <w:p>
      <w:pPr>
        <w:spacing w:line="560" w:lineRule="exact"/>
        <w:ind w:firstLine="560"/>
        <w:rPr>
          <w:rFonts w:hAnsi="仿宋_GB2312" w:cs="仿宋_GB2312"/>
          <w:bCs/>
          <w:szCs w:val="28"/>
        </w:rPr>
      </w:pPr>
      <w:r>
        <w:rPr>
          <w:rFonts w:hint="eastAsia" w:hAnsi="仿宋_GB2312" w:cs="仿宋_GB2312"/>
          <w:bCs/>
          <w:szCs w:val="28"/>
        </w:rPr>
        <w:t>（二）电路板焊接</w:t>
      </w:r>
    </w:p>
    <w:p>
      <w:pPr>
        <w:spacing w:line="560" w:lineRule="exact"/>
        <w:ind w:firstLine="560"/>
        <w:rPr>
          <w:rFonts w:hAnsi="仿宋_GB2312" w:cs="仿宋_GB2312"/>
          <w:bCs/>
          <w:szCs w:val="28"/>
        </w:rPr>
      </w:pPr>
      <w:r>
        <w:rPr>
          <w:rFonts w:hint="eastAsia" w:hAnsi="仿宋_GB2312" w:cs="仿宋_GB2312"/>
          <w:bCs/>
          <w:szCs w:val="28"/>
        </w:rPr>
        <w:t>参赛选手须依据电路原理图、器件位置图、物料清单，在规定时间内完成元器件焊接，并按时上交进行焊接工艺评分。</w:t>
      </w:r>
    </w:p>
    <w:p>
      <w:pPr>
        <w:spacing w:line="560" w:lineRule="exact"/>
        <w:ind w:firstLine="560"/>
        <w:rPr>
          <w:rFonts w:hAnsi="仿宋_GB2312" w:cs="仿宋_GB2312"/>
          <w:bCs/>
          <w:szCs w:val="28"/>
        </w:rPr>
      </w:pPr>
      <w:r>
        <w:rPr>
          <w:rFonts w:hint="eastAsia" w:hAnsi="仿宋_GB2312" w:cs="仿宋_GB2312"/>
          <w:bCs/>
          <w:szCs w:val="28"/>
        </w:rPr>
        <w:t>本赛题所涉及的贴片元器件封装仅限于：SIP-8、SSOP-6、SOP-8、SSOP-8、SOP-14、SOT-23、SOT23-5、SOT-223、SO</w:t>
      </w:r>
      <w:r>
        <w:rPr>
          <w:rFonts w:hint="eastAsia" w:hAnsi="仿宋_GB2312" w:cs="仿宋_GB2312"/>
          <w:bCs/>
          <w:szCs w:val="28"/>
          <w:highlight w:val="none"/>
        </w:rPr>
        <w:t>P-16、TSSOP-</w:t>
      </w:r>
      <w:r>
        <w:rPr>
          <w:rFonts w:hint="eastAsia" w:hAnsi="仿宋_GB2312" w:cs="仿宋_GB2312"/>
          <w:bCs/>
          <w:szCs w:val="28"/>
          <w:highlight w:val="none"/>
          <w:lang w:val="en-US" w:eastAsia="zh-CN"/>
        </w:rPr>
        <w:t>8、</w:t>
      </w:r>
      <w:r>
        <w:rPr>
          <w:rFonts w:hint="eastAsia" w:hAnsi="仿宋_GB2312" w:cs="仿宋_GB2312"/>
          <w:bCs/>
          <w:szCs w:val="28"/>
          <w:highlight w:val="none"/>
        </w:rPr>
        <w:t>TSSOP-16、SSOP-28、0603、0805、1206、3528、QFN-24、QFN-28、</w:t>
      </w:r>
      <w:r>
        <w:rPr>
          <w:rFonts w:hint="eastAsia" w:hAnsi="仿宋_GB2312" w:cs="仿宋_GB2312"/>
          <w:bCs/>
          <w:szCs w:val="28"/>
        </w:rPr>
        <w:t>贴片电容6.5*6.5、贴片电容8*10、CD43、邮票孔、FPC(0.7*30</w:t>
      </w:r>
      <w:r>
        <w:rPr>
          <w:rFonts w:hAnsi="仿宋_GB2312" w:cs="仿宋_GB2312"/>
          <w:bCs/>
          <w:szCs w:val="28"/>
        </w:rPr>
        <w:t>)</w:t>
      </w:r>
      <w:r>
        <w:rPr>
          <w:rFonts w:hint="eastAsia" w:hAnsi="仿宋_GB2312" w:cs="仿宋_GB2312"/>
          <w:bCs/>
          <w:szCs w:val="28"/>
        </w:rPr>
        <w:t>。</w:t>
      </w:r>
    </w:p>
    <w:p>
      <w:pPr>
        <w:spacing w:line="560" w:lineRule="exact"/>
        <w:ind w:firstLine="560"/>
        <w:rPr>
          <w:rFonts w:hAnsi="仿宋_GB2312" w:cs="仿宋_GB2312"/>
          <w:bCs/>
          <w:szCs w:val="28"/>
        </w:rPr>
      </w:pPr>
      <w:r>
        <w:rPr>
          <w:rFonts w:hint="eastAsia" w:hAnsi="仿宋_GB2312" w:cs="仿宋_GB2312"/>
          <w:bCs/>
          <w:szCs w:val="28"/>
        </w:rPr>
        <w:t>（三）故障排除</w:t>
      </w:r>
    </w:p>
    <w:p>
      <w:pPr>
        <w:spacing w:line="560" w:lineRule="exact"/>
        <w:ind w:firstLine="560"/>
        <w:rPr>
          <w:rFonts w:hAnsi="仿宋_GB2312" w:cs="仿宋_GB2312"/>
          <w:bCs/>
          <w:szCs w:val="28"/>
        </w:rPr>
      </w:pPr>
      <w:r>
        <w:rPr>
          <w:rFonts w:hint="eastAsia" w:hAnsi="仿宋_GB2312" w:cs="仿宋_GB2312"/>
          <w:bCs/>
          <w:szCs w:val="28"/>
        </w:rPr>
        <w:t>参赛选手须根据电路原理图分析电路功能，并使用示波器、万用表等仪表进行故障排除，使电路板功能正常。</w:t>
      </w:r>
    </w:p>
    <w:p>
      <w:pPr>
        <w:spacing w:line="560" w:lineRule="exact"/>
        <w:ind w:firstLine="560"/>
        <w:rPr>
          <w:rFonts w:hAnsi="仿宋_GB2312" w:cs="仿宋_GB2312"/>
          <w:bCs/>
          <w:szCs w:val="28"/>
        </w:rPr>
      </w:pPr>
      <w:r>
        <w:rPr>
          <w:rFonts w:hint="eastAsia" w:hAnsi="仿宋_GB2312" w:cs="仿宋_GB2312"/>
          <w:bCs/>
          <w:szCs w:val="28"/>
        </w:rPr>
        <w:t>本赛题所涉及的电路故障仅限于：断线、短路、丝印错误、器件封装错误。所涉及的电路参数调整仅限于：电位器阻值调整；可变电容容值调整；拨动开关状态设置；短路帽的接入选择。</w:t>
      </w:r>
    </w:p>
    <w:p>
      <w:pPr>
        <w:spacing w:line="560" w:lineRule="exact"/>
        <w:ind w:firstLine="560"/>
        <w:rPr>
          <w:rFonts w:hAnsi="仿宋_GB2312" w:cs="仿宋_GB2312"/>
          <w:bCs/>
          <w:szCs w:val="28"/>
        </w:rPr>
      </w:pPr>
      <w:r>
        <w:rPr>
          <w:rFonts w:hint="eastAsia" w:hAnsi="仿宋_GB2312" w:cs="仿宋_GB2312"/>
          <w:bCs/>
          <w:szCs w:val="28"/>
        </w:rPr>
        <w:t>参赛选手焊接不当造成的故障不在本赛题考查范围之内,由选手自行处理解决。由此产生的性能不良或功能不全，后果也由选手完全承担。</w:t>
      </w:r>
    </w:p>
    <w:p>
      <w:pPr>
        <w:spacing w:line="560" w:lineRule="exact"/>
        <w:ind w:firstLine="560"/>
        <w:rPr>
          <w:rFonts w:hAnsi="仿宋_GB2312" w:cs="仿宋_GB2312"/>
          <w:bCs/>
          <w:szCs w:val="28"/>
        </w:rPr>
      </w:pPr>
      <w:r>
        <w:rPr>
          <w:rFonts w:hint="eastAsia" w:hAnsi="仿宋_GB2312" w:cs="仿宋_GB2312"/>
          <w:bCs/>
          <w:szCs w:val="28"/>
        </w:rPr>
        <w:t>（四）嵌入式系统驱动程序开发</w:t>
      </w:r>
    </w:p>
    <w:p>
      <w:pPr>
        <w:spacing w:line="560" w:lineRule="exact"/>
        <w:ind w:firstLine="560"/>
        <w:rPr>
          <w:rFonts w:hAnsi="仿宋_GB2312" w:cs="仿宋_GB2312"/>
          <w:bCs/>
          <w:szCs w:val="28"/>
        </w:rPr>
      </w:pPr>
      <w:r>
        <w:rPr>
          <w:rFonts w:hint="eastAsia" w:hAnsi="仿宋_GB2312" w:cs="仿宋_GB2312"/>
          <w:bCs/>
          <w:szCs w:val="28"/>
        </w:rPr>
        <w:t>参赛选手须根据现场下发的功能电路板原理图、相关器件手册等资料，完成相应嵌入式系统驱动程序开发。在竞赛结束前根据竞赛题目要求正确装配嵌入式最小系统板与电路功能板，并将最终程序下载到嵌入式最小系统板中。</w:t>
      </w:r>
    </w:p>
    <w:p>
      <w:pPr>
        <w:spacing w:line="560" w:lineRule="exact"/>
        <w:ind w:firstLine="560"/>
        <w:rPr>
          <w:rFonts w:hAnsi="仿宋_GB2312" w:cs="仿宋_GB2312"/>
          <w:bCs/>
          <w:szCs w:val="28"/>
        </w:rPr>
      </w:pPr>
      <w:r>
        <w:rPr>
          <w:rFonts w:hint="eastAsia" w:hAnsi="仿宋_GB2312" w:cs="仿宋_GB2312"/>
          <w:bCs/>
          <w:szCs w:val="28"/>
        </w:rPr>
        <w:t>本模块涉及的嵌入式系统驱动程序开发仅限于：</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通用I/O（GPIO）驱动程序开发；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中断程序开发；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定时器程序开发；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模数转换器（ADC）程序开发；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数模转换器（DAC）程序开发；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单总线驱动程序开发；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I</w:t>
      </w:r>
      <w:r>
        <w:rPr>
          <w:rFonts w:hint="eastAsia" w:hAnsi="仿宋_GB2312" w:cs="仿宋_GB2312"/>
          <w:bCs/>
          <w:szCs w:val="28"/>
          <w:vertAlign w:val="superscript"/>
        </w:rPr>
        <w:t>2</w:t>
      </w:r>
      <w:r>
        <w:rPr>
          <w:rFonts w:hint="eastAsia" w:hAnsi="仿宋_GB2312" w:cs="仿宋_GB2312"/>
          <w:bCs/>
          <w:szCs w:val="28"/>
        </w:rPr>
        <w:t>C总线驱动程序开发；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SPI总线驱动程序开发；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串行通信接口（UART）驱动程序开发；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实时时钟（RTC）驱动程序开发。</w:t>
      </w:r>
    </w:p>
    <w:p>
      <w:pPr>
        <w:numPr>
          <w:ilvl w:val="0"/>
          <w:numId w:val="7"/>
        </w:numPr>
        <w:snapToGrid w:val="0"/>
        <w:spacing w:line="560" w:lineRule="exact"/>
        <w:ind w:firstLine="560" w:firstLineChars="0"/>
        <w:rPr>
          <w:rFonts w:hAnsi="仿宋_GB2312" w:cs="仿宋_GB2312"/>
          <w:bCs/>
          <w:szCs w:val="28"/>
          <w:highlight w:val="none"/>
        </w:rPr>
      </w:pPr>
      <w:r>
        <w:rPr>
          <w:rFonts w:hint="eastAsia" w:hAnsi="仿宋_GB2312" w:cs="仿宋_GB2312"/>
          <w:bCs/>
          <w:szCs w:val="28"/>
          <w:highlight w:val="none"/>
          <w:lang w:eastAsia="zh-CN"/>
        </w:rPr>
        <w:t>液晶驱动程序开发。</w:t>
      </w:r>
    </w:p>
    <w:p>
      <w:pPr>
        <w:spacing w:line="560" w:lineRule="exact"/>
        <w:ind w:firstLine="560"/>
        <w:rPr>
          <w:rFonts w:hAnsi="仿宋_GB2312" w:cs="仿宋_GB2312"/>
          <w:bCs/>
          <w:szCs w:val="28"/>
        </w:rPr>
      </w:pPr>
      <w:r>
        <w:rPr>
          <w:rFonts w:hint="eastAsia" w:hAnsi="仿宋_GB2312" w:cs="仿宋_GB2312"/>
          <w:bCs/>
          <w:szCs w:val="28"/>
        </w:rPr>
        <w:t>（五）测评准备</w:t>
      </w:r>
    </w:p>
    <w:p>
      <w:pPr>
        <w:spacing w:line="560" w:lineRule="exact"/>
        <w:ind w:firstLine="560"/>
        <w:rPr>
          <w:rFonts w:hAnsi="仿宋_GB2312" w:cs="仿宋_GB2312"/>
          <w:bCs/>
          <w:szCs w:val="28"/>
        </w:rPr>
      </w:pPr>
      <w:r>
        <w:rPr>
          <w:rFonts w:hint="eastAsia" w:hAnsi="仿宋_GB2312" w:cs="仿宋_GB2312"/>
          <w:bCs/>
          <w:szCs w:val="28"/>
        </w:rPr>
        <w:t>在第一模块竞赛结束后，参赛选手须将嵌入式最小系统板、焊接完成的电路功能板等设备送达候场区等候测试。</w:t>
      </w:r>
    </w:p>
    <w:p>
      <w:pPr>
        <w:snapToGrid w:val="0"/>
        <w:spacing w:line="560" w:lineRule="exact"/>
        <w:ind w:firstLine="560"/>
        <w:rPr>
          <w:rFonts w:hAnsi="仿宋_GB2312" w:cs="仿宋_GB2312"/>
          <w:bCs/>
          <w:szCs w:val="28"/>
        </w:rPr>
      </w:pPr>
      <w:r>
        <w:rPr>
          <w:rFonts w:hint="eastAsia" w:hAnsi="仿宋_GB2312" w:cs="仿宋_GB2312"/>
          <w:bCs/>
          <w:szCs w:val="28"/>
        </w:rPr>
        <w:t>参赛选手接到测评准备指令后，遵循现场顺序依次达到指定竞赛测评区，根据竞赛任务表进行功能测评。测试过程中不得使用计算机再次下载程序。</w:t>
      </w:r>
    </w:p>
    <w:p>
      <w:pPr>
        <w:pStyle w:val="16"/>
        <w:ind w:firstLine="360"/>
        <w:rPr>
          <w:rFonts w:ascii="仿宋_GB2312" w:hAnsi="仿宋_GB2312" w:eastAsia="仿宋_GB2312" w:cs="仿宋_GB2312"/>
          <w:szCs w:val="24"/>
        </w:rPr>
      </w:pPr>
      <w:r>
        <w:rPr>
          <w:rFonts w:hint="eastAsia" w:ascii="仿宋_GB2312" w:hAnsi="仿宋_GB2312" w:eastAsia="仿宋_GB2312" w:cs="仿宋_GB2312"/>
          <w:szCs w:val="24"/>
        </w:rPr>
        <w:t>表1 第一模块竞赛任务表（格式样例）</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765"/>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50" w:type="dxa"/>
          </w:tcPr>
          <w:p>
            <w:pPr>
              <w:pStyle w:val="15"/>
            </w:pPr>
            <w:r>
              <w:rPr>
                <w:rFonts w:hint="eastAsia"/>
              </w:rPr>
              <w:t>序号</w:t>
            </w:r>
          </w:p>
        </w:tc>
        <w:tc>
          <w:tcPr>
            <w:tcW w:w="2765" w:type="dxa"/>
          </w:tcPr>
          <w:p>
            <w:pPr>
              <w:pStyle w:val="15"/>
            </w:pPr>
            <w:r>
              <w:rPr>
                <w:rFonts w:hint="eastAsia"/>
              </w:rPr>
              <w:t>任务要求</w:t>
            </w:r>
          </w:p>
        </w:tc>
        <w:tc>
          <w:tcPr>
            <w:tcW w:w="4607" w:type="dxa"/>
          </w:tcPr>
          <w:p>
            <w:pPr>
              <w:pStyle w:val="15"/>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1</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2</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3</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4</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5</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rPr>
            </w:pPr>
            <w:r>
              <w:rPr>
                <w:rFonts w:hint="eastAsia"/>
                <w:bCs/>
              </w:rPr>
              <w:t>......</w:t>
            </w:r>
          </w:p>
        </w:tc>
        <w:tc>
          <w:tcPr>
            <w:tcW w:w="2765" w:type="dxa"/>
          </w:tcPr>
          <w:p>
            <w:pPr>
              <w:pStyle w:val="15"/>
              <w:rPr>
                <w:b/>
                <w:bCs/>
              </w:rPr>
            </w:pPr>
          </w:p>
        </w:tc>
        <w:tc>
          <w:tcPr>
            <w:tcW w:w="4607" w:type="dxa"/>
            <w:vAlign w:val="center"/>
          </w:tcPr>
          <w:p>
            <w:pPr>
              <w:pStyle w:val="15"/>
              <w:rPr>
                <w:b/>
                <w:bCs/>
              </w:rPr>
            </w:pPr>
          </w:p>
        </w:tc>
      </w:tr>
    </w:tbl>
    <w:p>
      <w:pPr>
        <w:spacing w:line="560" w:lineRule="exact"/>
        <w:ind w:firstLine="560"/>
        <w:rPr>
          <w:rFonts w:hAnsi="仿宋_GB2312" w:cs="仿宋_GB2312"/>
          <w:bCs/>
          <w:szCs w:val="28"/>
        </w:rPr>
      </w:pPr>
      <w:r>
        <w:rPr>
          <w:rFonts w:hint="eastAsia" w:hAnsi="仿宋_GB2312" w:cs="仿宋_GB2312"/>
          <w:bCs/>
          <w:szCs w:val="28"/>
        </w:rPr>
        <w:t>（六）焊接工艺评分</w:t>
      </w:r>
    </w:p>
    <w:p>
      <w:pPr>
        <w:spacing w:line="560" w:lineRule="exact"/>
        <w:ind w:firstLine="560"/>
        <w:jc w:val="left"/>
        <w:rPr>
          <w:rFonts w:ascii="黑体" w:hAnsi="黑体" w:eastAsia="黑体" w:cs="黑体"/>
          <w:b/>
          <w:szCs w:val="28"/>
        </w:rPr>
      </w:pPr>
      <w:r>
        <w:rPr>
          <w:rFonts w:hint="eastAsia" w:hAnsi="仿宋_GB2312" w:cs="仿宋_GB2312"/>
          <w:bCs/>
          <w:szCs w:val="28"/>
        </w:rPr>
        <w:t>参赛选手在完成功能电路板的功能测评后，将焊接好的功能电路板上交到裁判指定位置，由三次加密裁判统一做三次加密后，由评分裁判进行功能电路板焊接工艺评分。</w:t>
      </w:r>
    </w:p>
    <w:p>
      <w:pPr>
        <w:pStyle w:val="23"/>
      </w:pPr>
      <w:r>
        <w:rPr>
          <w:rFonts w:hint="eastAsia"/>
        </w:rPr>
        <w:t>三、注意事项</w:t>
      </w:r>
    </w:p>
    <w:p>
      <w:pPr>
        <w:spacing w:line="560" w:lineRule="exact"/>
        <w:ind w:firstLine="560"/>
        <w:rPr>
          <w:rFonts w:hAnsi="仿宋_GB2312" w:cs="仿宋_GB2312"/>
          <w:bCs/>
          <w:szCs w:val="28"/>
        </w:rPr>
      </w:pPr>
      <w:r>
        <w:rPr>
          <w:rFonts w:hint="eastAsia" w:hAnsi="仿宋_GB2312" w:cs="仿宋_GB2312"/>
          <w:bCs/>
          <w:szCs w:val="28"/>
        </w:rPr>
        <w:t>1．参赛选手在焊接等操作过程中应当严格遵守安全操作规范，安全用电，保持桌面整洁。</w:t>
      </w:r>
    </w:p>
    <w:p>
      <w:pPr>
        <w:spacing w:line="560" w:lineRule="exact"/>
        <w:ind w:firstLine="560"/>
        <w:rPr>
          <w:rFonts w:hAnsi="仿宋_GB2312" w:cs="仿宋_GB2312"/>
          <w:bCs/>
          <w:szCs w:val="28"/>
        </w:rPr>
      </w:pPr>
      <w:r>
        <w:rPr>
          <w:rFonts w:hint="eastAsia" w:hAnsi="仿宋_GB2312" w:cs="仿宋_GB2312"/>
          <w:bCs/>
          <w:szCs w:val="28"/>
        </w:rPr>
        <w:t>2．选手需在竞赛开始半小时内确认焊接套件的器件完整情况，如有缺失可申请补领器件，竞赛开始半小时之后再补领器件将按规程规定扣除相应分值。</w:t>
      </w:r>
    </w:p>
    <w:p>
      <w:pPr>
        <w:spacing w:line="560" w:lineRule="exact"/>
        <w:ind w:firstLine="560"/>
        <w:rPr>
          <w:rFonts w:hAnsi="仿宋_GB2312" w:cs="仿宋_GB2312"/>
          <w:bCs/>
          <w:szCs w:val="28"/>
        </w:rPr>
      </w:pPr>
      <w:r>
        <w:rPr>
          <w:rFonts w:hint="eastAsia" w:hAnsi="仿宋_GB2312" w:cs="仿宋_GB2312"/>
          <w:bCs/>
          <w:szCs w:val="28"/>
        </w:rPr>
        <w:t>3．选手在本模块竞赛测评过程中，可申请使用完好功能电路板进行软件程序功能验证（限1次，按规程扣除相应分值）。</w:t>
      </w:r>
    </w:p>
    <w:p>
      <w:pPr>
        <w:snapToGrid w:val="0"/>
        <w:spacing w:line="560" w:lineRule="exact"/>
        <w:ind w:firstLine="560"/>
        <w:rPr>
          <w:rFonts w:hAnsi="仿宋_GB2312" w:cs="仿宋_GB2312"/>
          <w:bCs/>
          <w:szCs w:val="28"/>
        </w:rPr>
      </w:pPr>
      <w:r>
        <w:rPr>
          <w:rFonts w:hAnsi="仿宋_GB2312" w:cs="仿宋_GB2312"/>
          <w:bCs/>
          <w:szCs w:val="28"/>
        </w:rPr>
        <w:t>4</w:t>
      </w:r>
      <w:r>
        <w:rPr>
          <w:rFonts w:hint="eastAsia" w:hAnsi="仿宋_GB2312" w:cs="仿宋_GB2312"/>
          <w:bCs/>
          <w:szCs w:val="28"/>
        </w:rPr>
        <w:t>．参赛选手不得做出干扰或影响他人竞赛的行为。</w:t>
      </w:r>
    </w:p>
    <w:p>
      <w:pPr>
        <w:spacing w:before="312" w:beforeLines="100"/>
        <w:ind w:firstLine="602"/>
        <w:jc w:val="center"/>
        <w:rPr>
          <w:rFonts w:ascii="黑体" w:hAnsi="黑体" w:eastAsia="黑体" w:cs="黑体"/>
          <w:b/>
          <w:sz w:val="30"/>
          <w:szCs w:val="30"/>
        </w:rPr>
      </w:pPr>
      <w:r>
        <w:rPr>
          <w:rFonts w:hint="eastAsia" w:ascii="黑体" w:hAnsi="黑体" w:eastAsia="黑体" w:cs="黑体"/>
          <w:b/>
          <w:sz w:val="30"/>
          <w:szCs w:val="30"/>
        </w:rPr>
        <w:t>第二模块 嵌入式边缘计算应用程序开发</w:t>
      </w:r>
    </w:p>
    <w:p>
      <w:pPr>
        <w:pStyle w:val="23"/>
      </w:pPr>
      <w:r>
        <w:rPr>
          <w:rFonts w:hint="eastAsia"/>
        </w:rPr>
        <w:t>一、竞赛要求</w:t>
      </w:r>
    </w:p>
    <w:p>
      <w:pPr>
        <w:snapToGrid w:val="0"/>
        <w:spacing w:line="560" w:lineRule="exact"/>
        <w:ind w:firstLine="560"/>
        <w:rPr>
          <w:rFonts w:hAnsi="仿宋_GB2312" w:cs="仿宋_GB2312"/>
          <w:bCs/>
          <w:szCs w:val="28"/>
        </w:rPr>
      </w:pPr>
      <w:r>
        <w:rPr>
          <w:rFonts w:hint="eastAsia" w:hAnsi="仿宋_GB2312" w:cs="仿宋_GB2312"/>
          <w:bCs/>
          <w:szCs w:val="28"/>
        </w:rPr>
        <w:t>参赛选手根据竞赛现场抽取的标志物摆放位置表及任务流程表等文件编写相关嵌入式应用程序，自动控制主车、从车在模拟的智慧交通、自动驾驶应用场景(即赛道地图)中完成各项赛道功能任务。</w:t>
      </w:r>
    </w:p>
    <w:p>
      <w:pPr>
        <w:pStyle w:val="23"/>
      </w:pPr>
      <w:r>
        <w:rPr>
          <w:rFonts w:hint="eastAsia"/>
        </w:rPr>
        <w:t>二、竞赛内容</w:t>
      </w:r>
    </w:p>
    <w:p>
      <w:pPr>
        <w:snapToGrid w:val="0"/>
        <w:spacing w:line="560" w:lineRule="exact"/>
        <w:ind w:firstLine="560"/>
        <w:rPr>
          <w:rFonts w:hAnsi="仿宋_GB2312" w:cs="仿宋_GB2312"/>
          <w:bCs/>
          <w:szCs w:val="28"/>
        </w:rPr>
      </w:pPr>
      <w:r>
        <w:rPr>
          <w:rFonts w:hint="eastAsia" w:hAnsi="仿宋_GB2312" w:cs="仿宋_GB2312"/>
          <w:bCs/>
          <w:szCs w:val="28"/>
        </w:rPr>
        <w:t>（一）编程调试</w:t>
      </w:r>
    </w:p>
    <w:p>
      <w:pPr>
        <w:snapToGrid w:val="0"/>
        <w:spacing w:line="560" w:lineRule="exact"/>
        <w:ind w:firstLine="560"/>
        <w:rPr>
          <w:rFonts w:hAnsi="仿宋_GB2312" w:cs="仿宋_GB2312"/>
          <w:bCs/>
          <w:szCs w:val="28"/>
        </w:rPr>
      </w:pPr>
      <w:r>
        <w:rPr>
          <w:rFonts w:hint="eastAsia" w:hAnsi="仿宋_GB2312" w:cs="仿宋_GB2312"/>
          <w:bCs/>
          <w:szCs w:val="28"/>
        </w:rPr>
        <w:t>参赛选手须依据本赛题给定的赛道地图以及现场随机抽取的竞赛参数进行嵌入式应用程序及嵌入式边缘计算应用程序编写，参赛选手以现场下发的练习赛道使用时间表使用练习赛道进行调试。</w:t>
      </w:r>
    </w:p>
    <w:p>
      <w:pPr>
        <w:snapToGrid w:val="0"/>
        <w:spacing w:line="560" w:lineRule="exact"/>
        <w:ind w:firstLine="560"/>
        <w:rPr>
          <w:rFonts w:hAnsi="仿宋_GB2312" w:cs="仿宋_GB2312"/>
          <w:bCs/>
          <w:szCs w:val="28"/>
        </w:rPr>
      </w:pPr>
      <w:r>
        <w:rPr>
          <w:rFonts w:hint="eastAsia" w:hAnsi="仿宋_GB2312" w:cs="仿宋_GB2312"/>
          <w:bCs/>
          <w:szCs w:val="28"/>
        </w:rPr>
        <w:t>（二）测评准备</w:t>
      </w:r>
    </w:p>
    <w:p>
      <w:pPr>
        <w:snapToGrid w:val="0"/>
        <w:spacing w:line="560" w:lineRule="exact"/>
        <w:ind w:firstLine="560"/>
        <w:rPr>
          <w:rFonts w:hAnsi="仿宋_GB2312" w:cs="仿宋_GB2312"/>
          <w:bCs/>
          <w:szCs w:val="28"/>
        </w:rPr>
      </w:pPr>
      <w:r>
        <w:rPr>
          <w:rFonts w:hint="eastAsia" w:hAnsi="仿宋_GB2312" w:cs="仿宋_GB2312"/>
          <w:bCs/>
          <w:szCs w:val="28"/>
        </w:rPr>
        <w:t>参赛选手应及时掌握竞赛时间进度，在接到候场指令前将程序下载到主车、从车设备中。</w:t>
      </w:r>
    </w:p>
    <w:p>
      <w:pPr>
        <w:snapToGrid w:val="0"/>
        <w:spacing w:line="560" w:lineRule="exact"/>
        <w:ind w:firstLine="560"/>
        <w:rPr>
          <w:rFonts w:hAnsi="仿宋_GB2312" w:cs="仿宋_GB2312"/>
          <w:bCs/>
          <w:szCs w:val="28"/>
        </w:rPr>
      </w:pPr>
      <w:r>
        <w:rPr>
          <w:rFonts w:hint="eastAsia" w:hAnsi="仿宋_GB2312" w:cs="仿宋_GB2312"/>
          <w:bCs/>
          <w:szCs w:val="28"/>
        </w:rPr>
        <w:t>参赛选手接到候场指令后，须将携带主车、从车等指定设备到达候场区等候。</w:t>
      </w:r>
    </w:p>
    <w:p>
      <w:pPr>
        <w:snapToGrid w:val="0"/>
        <w:spacing w:line="560" w:lineRule="exact"/>
        <w:ind w:firstLine="560"/>
        <w:rPr>
          <w:rFonts w:hAnsi="仿宋_GB2312" w:cs="仿宋_GB2312"/>
          <w:bCs/>
          <w:szCs w:val="28"/>
        </w:rPr>
      </w:pPr>
      <w:r>
        <w:rPr>
          <w:rFonts w:hint="eastAsia" w:hAnsi="仿宋_GB2312" w:cs="仿宋_GB2312"/>
          <w:bCs/>
          <w:szCs w:val="28"/>
        </w:rPr>
        <w:t>参赛选手接到竞赛准备指令后，遵循现场顺序依次达到指定赛道，根据竞赛题目要求将主车、从车放置在指定位置。</w:t>
      </w:r>
    </w:p>
    <w:p>
      <w:pPr>
        <w:snapToGrid w:val="0"/>
        <w:spacing w:line="560" w:lineRule="exact"/>
        <w:ind w:firstLine="560"/>
        <w:rPr>
          <w:rFonts w:hAnsi="仿宋_GB2312" w:cs="仿宋_GB2312"/>
          <w:bCs/>
          <w:szCs w:val="28"/>
        </w:rPr>
      </w:pPr>
      <w:r>
        <w:rPr>
          <w:rFonts w:hint="eastAsia" w:hAnsi="仿宋_GB2312" w:cs="仿宋_GB2312"/>
          <w:bCs/>
          <w:szCs w:val="28"/>
        </w:rPr>
        <w:t>（三）赛道任务</w:t>
      </w:r>
    </w:p>
    <w:p>
      <w:pPr>
        <w:snapToGrid w:val="0"/>
        <w:spacing w:line="560" w:lineRule="exact"/>
        <w:ind w:firstLine="560"/>
        <w:rPr>
          <w:rFonts w:hAnsi="仿宋_GB2312" w:cs="仿宋_GB2312"/>
          <w:bCs/>
          <w:szCs w:val="28"/>
        </w:rPr>
      </w:pPr>
      <w:r>
        <w:rPr>
          <w:rFonts w:hint="eastAsia" w:hAnsi="仿宋_GB2312" w:cs="仿宋_GB2312"/>
          <w:bCs/>
          <w:szCs w:val="28"/>
        </w:rPr>
        <w:t>参赛选手接到竞赛开始指令后，启动运行全自动控制程序，使主车、从车能自动完成第二模块竞赛任务表中规定的各项赛道任务。</w:t>
      </w:r>
    </w:p>
    <w:p>
      <w:pPr>
        <w:snapToGrid w:val="0"/>
        <w:spacing w:line="560" w:lineRule="exact"/>
        <w:ind w:left="400" w:firstLine="560"/>
        <w:rPr>
          <w:rFonts w:hAnsi="仿宋_GB2312" w:cs="仿宋_GB2312"/>
          <w:bCs/>
          <w:szCs w:val="28"/>
        </w:rPr>
      </w:pPr>
      <w:r>
        <w:rPr>
          <w:rFonts w:hint="eastAsia" w:hAnsi="仿宋_GB2312" w:cs="仿宋_GB2312"/>
          <w:bCs/>
          <w:szCs w:val="28"/>
        </w:rPr>
        <w:t>本模块所涉及的赛道任务仅限于：</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主车或从车执行前进/后退/左转/右转/停止/循迹等动作。</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主车或从车到达赛道地图指定坐标位置处。</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主车或从车按指定路线行进。</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主车或从车控制左/右转向灯开启或关闭。</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主车或从车打开/关闭蜂鸣器。</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主车或从车到达指定车库并执行倒车入库操作。</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主车与从车之间进行数据交互。</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主车或从车通过相关信息，获得其入库坐标或指定的行驶路线。</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主车或从车获得静态标志物垂直平面与前一个最近十字路口中心点的距离，为后续任务提供数据来源。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主车或从车获取智能路灯标志物当前档位信息，为后续任务提供数据来源。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主车或从车通过指定格式指令控制智能路灯标志物，将其光照强度档位调整到指定档位。</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主车或从车通过相关信息，获得智能路灯标志物的最终档位。</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主车或从车通过指定格式指令控制烽火台标志物开启。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主车或从车通过相关信息，获得烽火台标志物开启码，并控制其开启。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主车或从车通过指定格式指令控制无线充电标志物开启。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主车或从车通过相关信息，获得无线充电标志物开启码。并控制其开启。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主车或从车通过指定格式指令控制道闸标志物开启。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主车或从车通过相关信息，获得道闸志物开启码，并控制其开启。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主车或从车通过指定格式指令控制立体车库标志物复位。</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主车或从车获取立体车库标志物当前层数信息，为后续任务提供数据来源。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主车或从车通过相关信息，获得立体车库标志物最终停留层数。</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主车或从车采用倒车入库方式进入立体车库标志物，并停在规定位置。</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主车或从车将相关信息按照指定格式发送到立体显示标志物上显示。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主车或从车通过相关信息，获得立体显示标志物控制指令，并发送到立体显示标志物上显示。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主车或从车通过指定格式指令控制LED显示标志物开启/关闭计时。</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主车或从车将相关信息按照指定格式发送到LED显示标志物上显示。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主车或从车通过指定格式指令控制LED显示标志物显示距离信息。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主车或从车通过指定格式指令控制智能TFT显示标志物翻页。</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主车或从车通过指定格式指令控制智能TFT显示标志物开启/关闭计时。</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主车或从车将相关信息按照指定格式发送到智能TFT显示标志物上显示。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主车或从车将相关信息按照指定格式进行语音播报。</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主车或从车启动语音识别，获取语音播报标志物发出的语音命令，并将该语音重复播放一次。</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主车或从车启动语音识别，获取语音播报标志物发出的语音命令，并把相应语音命令编号按照指定格式上传评分终端或发送至TFT显示标志物、LED显示标志物及立体显示标志物显示。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主车或从车顺利通过特殊地形的路面(特殊地形为黑色底色，其循迹线为白色直线和白色弧线的组合)。</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主车或从车向竞赛自动评分终端返回指定格式数据。</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主车或从车识别静态标志物中的二维码，提取其中有效信息，为后续任务提供数据来源。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主车或从车识别智能TFT显示标志物中的二维码，提取其中有效信息，为后续任务提供数据来源。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主车或从车启动智能交通灯标志物进入识别模式，并在规定的时间内识别出当前停留信号灯的颜色，按照指定格式发给智能交通灯标志物进行比对确认。</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主车通过相关信息，获得RFID相应数据块地址、块数据密钥，为后续任务提供数据来源。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主车在行进路线中，获得RFID卡片位置信息，为后续任务提供数据来源。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主车通过相关信息，获得RFID卡内有效数据内容，为后续任务提供数据来源。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主车通过相关信息，获得从车的出发坐标、初始车头朝向、入库坐标或指定的行驶路线。</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主车顺利通过ETC系统标志物，不触碰其抬杆。</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主车识别智能TFT显示器中的车牌，提取其中有效信息，为后续任务提供数据来源。</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智能TFT显示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静态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主车识别智能TFT显示标志物中交通标志，获得对应信息为后续任务提供数据来源。其中涉及的交通标志仅限于：直行、左转、右转、掉头、禁止直行、禁止通行。</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主车识别静态标志物中交通标志，获得对应信息为后续任务提供数据来源。其中涉及的交通标志仅限于：直行、左转、右转、掉头、禁止直行、禁止通行。</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主车通过现场下发的数据处理方法，将相关信息进行处理，得到烽火台标志物的完整或部分开启码。</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主车向竞赛自动评分终端返回指定格式数据。</w:t>
      </w:r>
    </w:p>
    <w:p>
      <w:pPr>
        <w:pStyle w:val="23"/>
      </w:pPr>
      <w:r>
        <w:rPr>
          <w:rFonts w:hint="eastAsia"/>
        </w:rPr>
        <w:t>三、赛道地图及标志物摆放位置</w:t>
      </w:r>
    </w:p>
    <w:p>
      <w:pPr>
        <w:snapToGrid w:val="0"/>
        <w:spacing w:line="560" w:lineRule="exact"/>
        <w:ind w:firstLine="560"/>
        <w:rPr>
          <w:rFonts w:hAnsi="仿宋_GB2312" w:cs="仿宋_GB2312"/>
          <w:bCs/>
          <w:szCs w:val="28"/>
        </w:rPr>
      </w:pPr>
      <w:r>
        <w:rPr>
          <w:rFonts w:hint="eastAsia" w:hAnsi="仿宋_GB2312" w:cs="仿宋_GB2312"/>
          <w:bCs/>
          <w:szCs w:val="28"/>
        </w:rPr>
        <w:t>赛道地图如图1所示，尺寸规格为2.5m×2.5m(实际尺寸根据竞赛场地大小可能略有调整）；赛道宽度为30cm；循迹线宽度为3cm；图中纵向虚线编号为A</w:t>
      </w:r>
      <w:r>
        <w:rPr>
          <w:rFonts w:hint="eastAsia" w:ascii="宋体" w:hAnsi="宋体" w:eastAsia="宋体" w:cs="宋体"/>
          <w:bCs/>
          <w:szCs w:val="28"/>
        </w:rPr>
        <w:t>～</w:t>
      </w:r>
      <w:r>
        <w:rPr>
          <w:rFonts w:hint="eastAsia" w:hAnsi="仿宋_GB2312" w:cs="仿宋_GB2312"/>
          <w:bCs/>
          <w:szCs w:val="28"/>
        </w:rPr>
        <w:t>G，横向虚线编号为1</w:t>
      </w:r>
      <w:r>
        <w:rPr>
          <w:rFonts w:hint="eastAsia" w:ascii="宋体" w:hAnsi="宋体" w:eastAsia="宋体" w:cs="宋体"/>
          <w:bCs/>
          <w:szCs w:val="28"/>
        </w:rPr>
        <w:t>～</w:t>
      </w:r>
      <w:r>
        <w:rPr>
          <w:rFonts w:hint="eastAsia" w:hAnsi="仿宋_GB2312" w:cs="仿宋_GB2312"/>
          <w:bCs/>
          <w:szCs w:val="28"/>
        </w:rPr>
        <w:t>7（为避免干扰循迹，赛道上的虚线略去不画）；赛道标志物将置于横纵虚线交叉点上（由于部分标志物形状不规则，摆放确切位置以赛场实际摆放为准）。</w:t>
      </w:r>
    </w:p>
    <w:p>
      <w:pPr>
        <w:pStyle w:val="15"/>
        <w:ind w:firstLine="560"/>
      </w:pPr>
      <w:r>
        <w:rPr>
          <w:rFonts w:hAnsi="仿宋_GB2312" w:cs="仿宋_GB2312"/>
          <w:sz w:val="28"/>
          <w:szCs w:val="28"/>
        </w:rPr>
        <w:drawing>
          <wp:inline distT="0" distB="0" distL="114300" distR="114300">
            <wp:extent cx="3701415" cy="3692525"/>
            <wp:effectExtent l="0" t="0" r="13335" b="3175"/>
            <wp:docPr id="3" name="图片 3" descr="lALPD4PvMbMMgdbNBtTNBtg_1752_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4PvMbMMgdbNBtTNBtg_1752_1748"/>
                    <pic:cNvPicPr>
                      <a:picLocks noChangeAspect="1"/>
                    </pic:cNvPicPr>
                  </pic:nvPicPr>
                  <pic:blipFill>
                    <a:blip r:embed="rId13"/>
                    <a:stretch>
                      <a:fillRect/>
                    </a:stretch>
                  </pic:blipFill>
                  <pic:spPr>
                    <a:xfrm>
                      <a:off x="0" y="0"/>
                      <a:ext cx="3701415" cy="3692525"/>
                    </a:xfrm>
                    <a:prstGeom prst="rect">
                      <a:avLst/>
                    </a:prstGeom>
                    <a:noFill/>
                    <a:ln>
                      <a:noFill/>
                    </a:ln>
                  </pic:spPr>
                </pic:pic>
              </a:graphicData>
            </a:graphic>
          </wp:inline>
        </w:drawing>
      </w:r>
    </w:p>
    <w:p>
      <w:pPr>
        <w:pStyle w:val="15"/>
        <w:ind w:firstLine="560"/>
        <w:rPr>
          <w:rFonts w:hAnsi="仿宋_GB2312" w:cs="仿宋_GB2312"/>
          <w:b/>
          <w:bCs/>
          <w:szCs w:val="28"/>
        </w:rPr>
      </w:pPr>
      <w:r>
        <w:rPr>
          <w:rFonts w:hint="eastAsia" w:hAnsi="仿宋_GB2312" w:cs="仿宋_GB2312"/>
          <w:bCs/>
          <w:szCs w:val="24"/>
        </w:rPr>
        <w:t>图</w:t>
      </w:r>
      <w:r>
        <w:rPr>
          <w:rFonts w:hAnsi="仿宋_GB2312" w:cs="仿宋_GB2312"/>
          <w:bCs/>
          <w:szCs w:val="24"/>
        </w:rPr>
        <w:t>1</w:t>
      </w:r>
      <w:r>
        <w:rPr>
          <w:rFonts w:hint="eastAsia" w:hAnsi="仿宋_GB2312" w:cs="仿宋_GB2312"/>
          <w:bCs/>
          <w:szCs w:val="24"/>
        </w:rPr>
        <w:t xml:space="preserve"> 赛道参考地图</w:t>
      </w:r>
    </w:p>
    <w:p>
      <w:pPr>
        <w:snapToGrid w:val="0"/>
        <w:spacing w:line="560" w:lineRule="exact"/>
        <w:ind w:firstLine="560"/>
        <w:rPr>
          <w:rFonts w:hAnsi="仿宋_GB2312" w:cs="仿宋_GB2312"/>
          <w:bCs/>
          <w:szCs w:val="28"/>
        </w:rPr>
      </w:pPr>
      <w:r>
        <w:rPr>
          <w:rFonts w:hint="eastAsia" w:hAnsi="仿宋_GB2312" w:cs="仿宋_GB2312"/>
          <w:bCs/>
          <w:szCs w:val="28"/>
        </w:rPr>
        <w:t>标志物摆放位置在</w:t>
      </w:r>
      <w:r>
        <w:rPr>
          <w:rFonts w:hint="eastAsia" w:hAnsi="仿宋_GB2312" w:cs="仿宋_GB2312"/>
          <w:bCs/>
          <w:szCs w:val="28"/>
          <w:lang w:val="en-US" w:eastAsia="zh-CN"/>
        </w:rPr>
        <w:t>11月18日</w:t>
      </w:r>
      <w:r>
        <w:rPr>
          <w:rFonts w:hint="eastAsia" w:hAnsi="仿宋_GB2312" w:cs="仿宋_GB2312"/>
          <w:bCs/>
          <w:szCs w:val="28"/>
        </w:rPr>
        <w:t>现场随机抽取，于竞赛当天公布。注意：</w:t>
      </w:r>
    </w:p>
    <w:p>
      <w:pPr>
        <w:snapToGrid w:val="0"/>
        <w:spacing w:line="560" w:lineRule="exact"/>
        <w:ind w:firstLine="560"/>
        <w:rPr>
          <w:rFonts w:hAnsi="仿宋_GB2312" w:cs="仿宋_GB2312"/>
          <w:bCs/>
          <w:szCs w:val="28"/>
        </w:rPr>
      </w:pPr>
      <w:r>
        <w:rPr>
          <w:rFonts w:hint="eastAsia" w:hAnsi="仿宋_GB2312" w:cs="仿宋_GB2312"/>
          <w:bCs/>
          <w:szCs w:val="28"/>
        </w:rPr>
        <w:t>1.竞赛现场标志物摆放位置由现场随机抽取，测试赛道与决赛赛道标志物摆放位置一致。</w:t>
      </w:r>
    </w:p>
    <w:p>
      <w:pPr>
        <w:snapToGrid w:val="0"/>
        <w:spacing w:line="560" w:lineRule="exact"/>
        <w:ind w:firstLine="560"/>
        <w:rPr>
          <w:rFonts w:hAnsi="仿宋_GB2312" w:cs="仿宋_GB2312"/>
          <w:bCs/>
          <w:szCs w:val="28"/>
        </w:rPr>
      </w:pPr>
      <w:r>
        <w:rPr>
          <w:rFonts w:hint="eastAsia" w:hAnsi="仿宋_GB2312" w:cs="仿宋_GB2312"/>
          <w:bCs/>
          <w:szCs w:val="28"/>
        </w:rPr>
        <w:t>2.部分赛道标志物形状不规则，或者任务特殊需求，摆放时可能偏离交叉点。标志物的确切位置应以赛场实际摆放位置为准。</w:t>
      </w:r>
    </w:p>
    <w:p>
      <w:pPr>
        <w:pStyle w:val="23"/>
      </w:pPr>
      <w:r>
        <w:rPr>
          <w:rFonts w:hint="eastAsia"/>
        </w:rPr>
        <w:t>四、竞赛技术参数</w:t>
      </w:r>
    </w:p>
    <w:p>
      <w:pPr>
        <w:snapToGrid w:val="0"/>
        <w:spacing w:line="560" w:lineRule="exact"/>
        <w:ind w:firstLine="560"/>
        <w:rPr>
          <w:rFonts w:hAnsi="仿宋_GB2312" w:cs="仿宋_GB2312"/>
          <w:bCs/>
          <w:szCs w:val="28"/>
        </w:rPr>
      </w:pPr>
      <w:r>
        <w:rPr>
          <w:rFonts w:hint="eastAsia" w:hAnsi="仿宋_GB2312" w:cs="仿宋_GB2312"/>
          <w:bCs/>
          <w:szCs w:val="28"/>
        </w:rPr>
        <w:t>竞赛技术参数包括标志物摆放位置参数表、任务流程表和数据处理方法三项，具体参数将在竞赛现场从参数方案中随机抽取。</w:t>
      </w:r>
    </w:p>
    <w:p>
      <w:pPr>
        <w:snapToGrid w:val="0"/>
        <w:spacing w:line="560" w:lineRule="exact"/>
        <w:ind w:firstLine="560"/>
        <w:rPr>
          <w:rFonts w:hAnsi="仿宋_GB2312" w:cs="仿宋_GB2312"/>
          <w:bCs/>
          <w:szCs w:val="28"/>
        </w:rPr>
      </w:pPr>
      <w:r>
        <w:rPr>
          <w:rFonts w:hint="eastAsia" w:hAnsi="仿宋_GB2312" w:cs="仿宋_GB2312"/>
          <w:bCs/>
          <w:szCs w:val="28"/>
        </w:rPr>
        <w:t>（一）标志物摆放位置表</w:t>
      </w:r>
    </w:p>
    <w:p>
      <w:pPr>
        <w:snapToGrid w:val="0"/>
        <w:spacing w:line="560" w:lineRule="exact"/>
        <w:ind w:firstLine="560"/>
        <w:rPr>
          <w:rFonts w:hAnsi="仿宋_GB2312" w:cs="仿宋_GB2312"/>
          <w:bCs/>
          <w:szCs w:val="28"/>
        </w:rPr>
      </w:pPr>
      <w:r>
        <w:rPr>
          <w:rFonts w:hint="eastAsia" w:hAnsi="仿宋_GB2312" w:cs="仿宋_GB2312"/>
          <w:bCs/>
          <w:szCs w:val="28"/>
        </w:rPr>
        <w:t>标志物摆放位置表描述竞赛现场标志物摆放位置，必要时将指定标志物摆放方向，须在竞赛现场抽取，当场公布。其格式如表2所示。</w:t>
      </w:r>
    </w:p>
    <w:p>
      <w:pPr>
        <w:pStyle w:val="16"/>
        <w:ind w:firstLine="360"/>
        <w:rPr>
          <w:rFonts w:ascii="仿宋_GB2312" w:hAnsi="仿宋_GB2312" w:eastAsia="仿宋_GB2312" w:cs="仿宋_GB2312"/>
          <w:szCs w:val="28"/>
        </w:rPr>
      </w:pPr>
      <w:r>
        <w:rPr>
          <w:rFonts w:hint="eastAsia" w:ascii="仿宋_GB2312" w:hAnsi="仿宋_GB2312" w:eastAsia="仿宋_GB2312" w:cs="仿宋_GB2312"/>
          <w:szCs w:val="24"/>
        </w:rPr>
        <w:t>表</w:t>
      </w:r>
      <w:r>
        <w:rPr>
          <w:rFonts w:ascii="仿宋_GB2312" w:hAnsi="仿宋_GB2312" w:eastAsia="仿宋_GB2312" w:cs="仿宋_GB2312"/>
          <w:szCs w:val="24"/>
        </w:rPr>
        <w:t>2</w:t>
      </w:r>
      <w:r>
        <w:rPr>
          <w:rFonts w:hint="eastAsia" w:ascii="仿宋_GB2312" w:hAnsi="仿宋_GB2312" w:eastAsia="仿宋_GB2312" w:cs="仿宋_GB2312"/>
          <w:szCs w:val="24"/>
        </w:rPr>
        <w:t xml:space="preserve"> 第二模块标志物摆放位置表（格式样例）</w:t>
      </w:r>
    </w:p>
    <w:tbl>
      <w:tblPr>
        <w:tblStyle w:val="10"/>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835"/>
        <w:gridCol w:w="2129"/>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9" w:type="dxa"/>
          </w:tcPr>
          <w:p>
            <w:pPr>
              <w:pStyle w:val="15"/>
            </w:pPr>
            <w:r>
              <w:rPr>
                <w:rFonts w:hint="eastAsia"/>
              </w:rPr>
              <w:t>序号</w:t>
            </w:r>
          </w:p>
        </w:tc>
        <w:tc>
          <w:tcPr>
            <w:tcW w:w="2835" w:type="dxa"/>
          </w:tcPr>
          <w:p>
            <w:pPr>
              <w:pStyle w:val="15"/>
            </w:pPr>
            <w:r>
              <w:rPr>
                <w:rFonts w:hint="eastAsia"/>
              </w:rPr>
              <w:t>设备名称</w:t>
            </w:r>
          </w:p>
        </w:tc>
        <w:tc>
          <w:tcPr>
            <w:tcW w:w="2129" w:type="dxa"/>
          </w:tcPr>
          <w:p>
            <w:pPr>
              <w:pStyle w:val="15"/>
            </w:pPr>
            <w:r>
              <w:rPr>
                <w:rFonts w:hint="eastAsia"/>
              </w:rPr>
              <w:t>坐标点</w:t>
            </w:r>
          </w:p>
        </w:tc>
        <w:tc>
          <w:tcPr>
            <w:tcW w:w="2598" w:type="dxa"/>
          </w:tcPr>
          <w:p>
            <w:pPr>
              <w:pStyle w:val="15"/>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1</w:t>
            </w:r>
          </w:p>
        </w:tc>
        <w:tc>
          <w:tcPr>
            <w:tcW w:w="2835" w:type="dxa"/>
          </w:tcPr>
          <w:p>
            <w:pPr>
              <w:pStyle w:val="15"/>
            </w:pPr>
            <w:r>
              <w:rPr>
                <w:rFonts w:hint="eastAsia"/>
              </w:rPr>
              <w:t>智能TFT显示标志物（A）</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2</w:t>
            </w:r>
          </w:p>
        </w:tc>
        <w:tc>
          <w:tcPr>
            <w:tcW w:w="2835" w:type="dxa"/>
          </w:tcPr>
          <w:p>
            <w:pPr>
              <w:pStyle w:val="15"/>
            </w:pPr>
            <w:r>
              <w:rPr>
                <w:rFonts w:hint="eastAsia"/>
              </w:rPr>
              <w:t>智能TFT显示标志物（B）</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3</w:t>
            </w:r>
          </w:p>
        </w:tc>
        <w:tc>
          <w:tcPr>
            <w:tcW w:w="2835" w:type="dxa"/>
          </w:tcPr>
          <w:p>
            <w:pPr>
              <w:pStyle w:val="15"/>
            </w:pPr>
            <w:r>
              <w:rPr>
                <w:rFonts w:hint="eastAsia"/>
              </w:rPr>
              <w:t>道闸标志物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4</w:t>
            </w:r>
          </w:p>
        </w:tc>
        <w:tc>
          <w:tcPr>
            <w:tcW w:w="2835" w:type="dxa"/>
          </w:tcPr>
          <w:p>
            <w:pPr>
              <w:pStyle w:val="15"/>
            </w:pPr>
            <w:r>
              <w:rPr>
                <w:rFonts w:hint="eastAsia"/>
              </w:rPr>
              <w:t>静态标志物（直）</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5</w:t>
            </w:r>
          </w:p>
        </w:tc>
        <w:tc>
          <w:tcPr>
            <w:tcW w:w="2835" w:type="dxa"/>
          </w:tcPr>
          <w:p>
            <w:pPr>
              <w:pStyle w:val="15"/>
            </w:pPr>
            <w:r>
              <w:rPr>
                <w:rFonts w:hint="eastAsia"/>
              </w:rPr>
              <w:t>静态标志物（斜）</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6</w:t>
            </w:r>
          </w:p>
        </w:tc>
        <w:tc>
          <w:tcPr>
            <w:tcW w:w="2835" w:type="dxa"/>
          </w:tcPr>
          <w:p>
            <w:pPr>
              <w:pStyle w:val="15"/>
            </w:pPr>
            <w:r>
              <w:rPr>
                <w:rFonts w:hint="eastAsia"/>
              </w:rPr>
              <w:t>智能路灯标志物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7</w:t>
            </w:r>
          </w:p>
        </w:tc>
        <w:tc>
          <w:tcPr>
            <w:tcW w:w="2835" w:type="dxa"/>
          </w:tcPr>
          <w:p>
            <w:pPr>
              <w:pStyle w:val="15"/>
            </w:pPr>
            <w:r>
              <w:rPr>
                <w:rFonts w:hint="eastAsia"/>
              </w:rPr>
              <w:t>智能交通灯标志物（A）</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8</w:t>
            </w:r>
          </w:p>
        </w:tc>
        <w:tc>
          <w:tcPr>
            <w:tcW w:w="2835" w:type="dxa"/>
          </w:tcPr>
          <w:p>
            <w:pPr>
              <w:pStyle w:val="15"/>
            </w:pPr>
            <w:r>
              <w:rPr>
                <w:rFonts w:hint="eastAsia"/>
              </w:rPr>
              <w:t>智能交通灯标志物（B）</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9</w:t>
            </w:r>
          </w:p>
        </w:tc>
        <w:tc>
          <w:tcPr>
            <w:tcW w:w="2835" w:type="dxa"/>
          </w:tcPr>
          <w:p>
            <w:pPr>
              <w:pStyle w:val="15"/>
            </w:pPr>
            <w:r>
              <w:rPr>
                <w:rFonts w:hint="eastAsia"/>
              </w:rPr>
              <w:t>立体显示标志物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1</w:t>
            </w:r>
            <w:r>
              <w:t>0</w:t>
            </w:r>
          </w:p>
        </w:tc>
        <w:tc>
          <w:tcPr>
            <w:tcW w:w="2835" w:type="dxa"/>
          </w:tcPr>
          <w:p>
            <w:pPr>
              <w:pStyle w:val="15"/>
            </w:pPr>
            <w:r>
              <w:rPr>
                <w:rFonts w:hint="eastAsia"/>
              </w:rPr>
              <w:t>烽火台报警标志物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1</w:t>
            </w:r>
            <w:r>
              <w:t>1</w:t>
            </w:r>
          </w:p>
        </w:tc>
        <w:tc>
          <w:tcPr>
            <w:tcW w:w="2835" w:type="dxa"/>
          </w:tcPr>
          <w:p>
            <w:pPr>
              <w:pStyle w:val="15"/>
            </w:pPr>
            <w:r>
              <w:rPr>
                <w:rFonts w:hint="eastAsia"/>
              </w:rPr>
              <w:t>语音播报标志物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1</w:t>
            </w:r>
            <w:r>
              <w:t>2</w:t>
            </w:r>
          </w:p>
        </w:tc>
        <w:tc>
          <w:tcPr>
            <w:tcW w:w="2835" w:type="dxa"/>
          </w:tcPr>
          <w:p>
            <w:pPr>
              <w:pStyle w:val="15"/>
            </w:pPr>
            <w:r>
              <w:rPr>
                <w:rFonts w:hint="eastAsia"/>
              </w:rPr>
              <w:t>LED显示标志物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1</w:t>
            </w:r>
            <w:r>
              <w:t>3</w:t>
            </w:r>
          </w:p>
        </w:tc>
        <w:tc>
          <w:tcPr>
            <w:tcW w:w="2835" w:type="dxa"/>
          </w:tcPr>
          <w:p>
            <w:pPr>
              <w:pStyle w:val="15"/>
            </w:pPr>
            <w:r>
              <w:rPr>
                <w:rFonts w:hint="eastAsia"/>
              </w:rPr>
              <w:t>无线充电标志物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1</w:t>
            </w:r>
            <w:r>
              <w:t>4</w:t>
            </w:r>
          </w:p>
        </w:tc>
        <w:tc>
          <w:tcPr>
            <w:tcW w:w="2835" w:type="dxa"/>
          </w:tcPr>
          <w:p>
            <w:pPr>
              <w:pStyle w:val="15"/>
            </w:pPr>
            <w:r>
              <w:rPr>
                <w:rFonts w:hint="eastAsia"/>
              </w:rPr>
              <w:t>ETC系统标志物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1</w:t>
            </w:r>
            <w:r>
              <w:t>5</w:t>
            </w:r>
          </w:p>
        </w:tc>
        <w:tc>
          <w:tcPr>
            <w:tcW w:w="2835" w:type="dxa"/>
          </w:tcPr>
          <w:p>
            <w:pPr>
              <w:pStyle w:val="15"/>
            </w:pPr>
            <w:r>
              <w:rPr>
                <w:rFonts w:hint="eastAsia"/>
              </w:rPr>
              <w:t>特殊地形标志物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1</w:t>
            </w:r>
            <w:r>
              <w:t>6</w:t>
            </w:r>
          </w:p>
        </w:tc>
        <w:tc>
          <w:tcPr>
            <w:tcW w:w="2835" w:type="dxa"/>
          </w:tcPr>
          <w:p>
            <w:pPr>
              <w:pStyle w:val="15"/>
            </w:pPr>
            <w:r>
              <w:rPr>
                <w:rFonts w:hint="eastAsia"/>
              </w:rPr>
              <w:t>立体车库标志物（A）</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rFonts w:hint="default" w:eastAsia="仿宋_GB2312"/>
                <w:lang w:val="en-US" w:eastAsia="zh-CN"/>
              </w:rPr>
            </w:pPr>
            <w:r>
              <w:rPr>
                <w:rFonts w:hint="eastAsia"/>
                <w:lang w:val="en-US" w:eastAsia="zh-CN"/>
              </w:rPr>
              <w:t>17</w:t>
            </w:r>
          </w:p>
        </w:tc>
        <w:tc>
          <w:tcPr>
            <w:tcW w:w="2835" w:type="dxa"/>
          </w:tcPr>
          <w:p>
            <w:pPr>
              <w:pStyle w:val="15"/>
              <w:rPr>
                <w:rFonts w:hint="eastAsia"/>
              </w:rPr>
            </w:pPr>
            <w:r>
              <w:rPr>
                <w:rFonts w:hint="eastAsia"/>
              </w:rPr>
              <w:t>立体车库标志物（</w:t>
            </w:r>
            <w:r>
              <w:rPr>
                <w:rFonts w:hint="eastAsia"/>
                <w:lang w:val="en-US" w:eastAsia="zh-CN"/>
              </w:rPr>
              <w:t>B</w:t>
            </w:r>
            <w:r>
              <w:rPr>
                <w:rFonts w:hint="eastAsia"/>
              </w:rPr>
              <w:t>）</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rPr>
                <w:rFonts w:hint="eastAsia"/>
              </w:rPr>
              <w:t>1</w:t>
            </w:r>
            <w:r>
              <w:t>8</w:t>
            </w:r>
          </w:p>
        </w:tc>
        <w:tc>
          <w:tcPr>
            <w:tcW w:w="2835" w:type="dxa"/>
          </w:tcPr>
          <w:p>
            <w:pPr>
              <w:pStyle w:val="15"/>
            </w:pPr>
            <w:r>
              <w:rPr>
                <w:rFonts w:hint="eastAsia"/>
              </w:rPr>
              <w:t>RFID卡片(1-3张</w:t>
            </w:r>
            <w:r>
              <w:t>)</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pPr>
            <w:r>
              <w:t>…..</w:t>
            </w:r>
          </w:p>
        </w:tc>
        <w:tc>
          <w:tcPr>
            <w:tcW w:w="2835" w:type="dxa"/>
          </w:tcPr>
          <w:p>
            <w:pPr>
              <w:pStyle w:val="15"/>
            </w:pPr>
          </w:p>
        </w:tc>
        <w:tc>
          <w:tcPr>
            <w:tcW w:w="2129" w:type="dxa"/>
          </w:tcPr>
          <w:p>
            <w:pPr>
              <w:pStyle w:val="15"/>
            </w:pPr>
          </w:p>
        </w:tc>
        <w:tc>
          <w:tcPr>
            <w:tcW w:w="2598" w:type="dxa"/>
          </w:tcPr>
          <w:p>
            <w:pPr>
              <w:pStyle w:val="15"/>
            </w:pPr>
          </w:p>
        </w:tc>
      </w:tr>
    </w:tbl>
    <w:p>
      <w:pPr>
        <w:snapToGrid w:val="0"/>
        <w:spacing w:line="560" w:lineRule="exact"/>
        <w:ind w:firstLine="560"/>
        <w:rPr>
          <w:rFonts w:hAnsi="仿宋_GB2312" w:cs="仿宋_GB2312"/>
          <w:bCs/>
          <w:szCs w:val="28"/>
        </w:rPr>
      </w:pPr>
      <w:r>
        <w:rPr>
          <w:rFonts w:hint="eastAsia" w:hAnsi="仿宋_GB2312" w:cs="仿宋_GB2312"/>
          <w:bCs/>
          <w:szCs w:val="28"/>
        </w:rPr>
        <w:t>（二）任务流程表</w:t>
      </w:r>
    </w:p>
    <w:p>
      <w:pPr>
        <w:snapToGrid w:val="0"/>
        <w:spacing w:line="560" w:lineRule="exact"/>
        <w:ind w:firstLine="560"/>
        <w:rPr>
          <w:rFonts w:hAnsi="仿宋_GB2312" w:cs="仿宋_GB2312"/>
          <w:bCs/>
          <w:szCs w:val="28"/>
        </w:rPr>
      </w:pPr>
      <w:r>
        <w:rPr>
          <w:rFonts w:hint="eastAsia" w:hAnsi="仿宋_GB2312" w:cs="仿宋_GB2312"/>
          <w:bCs/>
          <w:szCs w:val="28"/>
        </w:rPr>
        <w:t>任务流程表描述竞赛平台行进路线和需要完成的任务，须在竞赛现场抽取，当场公布。其格式如表3所示。</w:t>
      </w:r>
    </w:p>
    <w:p>
      <w:pPr>
        <w:pStyle w:val="16"/>
        <w:ind w:firstLine="360"/>
        <w:rPr>
          <w:rFonts w:ascii="仿宋_GB2312" w:hAnsi="仿宋_GB2312" w:eastAsia="仿宋_GB2312" w:cs="仿宋_GB2312"/>
          <w:szCs w:val="24"/>
        </w:rPr>
      </w:pPr>
      <w:r>
        <w:rPr>
          <w:rFonts w:hint="eastAsia" w:ascii="仿宋_GB2312" w:hAnsi="仿宋_GB2312" w:eastAsia="仿宋_GB2312" w:cs="仿宋_GB2312"/>
          <w:szCs w:val="24"/>
        </w:rPr>
        <w:t>表</w:t>
      </w:r>
      <w:r>
        <w:rPr>
          <w:rFonts w:ascii="仿宋_GB2312" w:hAnsi="仿宋_GB2312" w:eastAsia="仿宋_GB2312" w:cs="仿宋_GB2312"/>
          <w:szCs w:val="24"/>
        </w:rPr>
        <w:t>3</w:t>
      </w:r>
      <w:r>
        <w:rPr>
          <w:rFonts w:hint="eastAsia" w:ascii="仿宋_GB2312" w:hAnsi="仿宋_GB2312" w:eastAsia="仿宋_GB2312" w:cs="仿宋_GB2312"/>
          <w:szCs w:val="24"/>
        </w:rPr>
        <w:t xml:space="preserve"> 第二模块竞赛任务流程表（格式样例）</w:t>
      </w:r>
    </w:p>
    <w:tbl>
      <w:tblPr>
        <w:tblStyle w:val="10"/>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895"/>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05" w:type="dxa"/>
          </w:tcPr>
          <w:p>
            <w:pPr>
              <w:pStyle w:val="15"/>
            </w:pPr>
            <w:r>
              <w:rPr>
                <w:rFonts w:hint="eastAsia"/>
              </w:rPr>
              <w:t>序号</w:t>
            </w:r>
          </w:p>
        </w:tc>
        <w:tc>
          <w:tcPr>
            <w:tcW w:w="2895" w:type="dxa"/>
          </w:tcPr>
          <w:p>
            <w:pPr>
              <w:pStyle w:val="15"/>
            </w:pPr>
            <w:r>
              <w:rPr>
                <w:rFonts w:hint="eastAsia"/>
              </w:rPr>
              <w:t>任务要求</w:t>
            </w:r>
          </w:p>
        </w:tc>
        <w:tc>
          <w:tcPr>
            <w:tcW w:w="4825" w:type="dxa"/>
          </w:tcPr>
          <w:p>
            <w:pPr>
              <w:pStyle w:val="15"/>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1</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2</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3</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4</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5</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rPr>
            </w:pPr>
            <w:r>
              <w:rPr>
                <w:rFonts w:hint="eastAsia"/>
                <w:bCs/>
              </w:rPr>
              <w:t>......</w:t>
            </w:r>
          </w:p>
        </w:tc>
        <w:tc>
          <w:tcPr>
            <w:tcW w:w="2895" w:type="dxa"/>
          </w:tcPr>
          <w:p>
            <w:pPr>
              <w:pStyle w:val="15"/>
              <w:rPr>
                <w:b/>
                <w:bCs/>
              </w:rPr>
            </w:pPr>
          </w:p>
        </w:tc>
        <w:tc>
          <w:tcPr>
            <w:tcW w:w="4825" w:type="dxa"/>
            <w:vAlign w:val="center"/>
          </w:tcPr>
          <w:p>
            <w:pPr>
              <w:pStyle w:val="15"/>
              <w:rPr>
                <w:b/>
                <w:bCs/>
              </w:rPr>
            </w:pPr>
          </w:p>
        </w:tc>
      </w:tr>
    </w:tbl>
    <w:p>
      <w:pPr>
        <w:snapToGrid w:val="0"/>
        <w:spacing w:line="560" w:lineRule="exact"/>
        <w:ind w:firstLine="560"/>
        <w:rPr>
          <w:rFonts w:hAnsi="仿宋_GB2312" w:cs="仿宋_GB2312"/>
          <w:bCs/>
          <w:szCs w:val="28"/>
        </w:rPr>
      </w:pPr>
      <w:r>
        <w:rPr>
          <w:rFonts w:hint="eastAsia" w:hAnsi="仿宋_GB2312" w:cs="仿宋_GB2312"/>
          <w:bCs/>
          <w:szCs w:val="28"/>
        </w:rPr>
        <w:t>（三）数据处理算法</w:t>
      </w:r>
    </w:p>
    <w:p>
      <w:pPr>
        <w:snapToGrid w:val="0"/>
        <w:spacing w:line="560" w:lineRule="exact"/>
        <w:ind w:firstLine="560"/>
        <w:rPr>
          <w:rFonts w:hAnsi="仿宋_GB2312" w:cs="仿宋_GB2312"/>
          <w:bCs/>
          <w:szCs w:val="28"/>
        </w:rPr>
      </w:pPr>
      <w:r>
        <w:rPr>
          <w:rFonts w:hint="eastAsia" w:hAnsi="仿宋_GB2312" w:cs="仿宋_GB2312"/>
          <w:bCs/>
          <w:szCs w:val="28"/>
        </w:rPr>
        <w:t>嵌入式边缘计算终端须对竞赛平台从二维码或图像识别结果中获取的有效信息进行编解码处理，生成已编码控制指令或加密数据。数据处理算法须在竞赛现场抽取，当场公布。</w:t>
      </w:r>
    </w:p>
    <w:p>
      <w:pPr>
        <w:snapToGrid w:val="0"/>
        <w:spacing w:line="560" w:lineRule="exact"/>
        <w:ind w:firstLine="560"/>
        <w:rPr>
          <w:rFonts w:hAnsi="仿宋_GB2312" w:cs="仿宋_GB2312"/>
          <w:bCs/>
          <w:szCs w:val="28"/>
        </w:rPr>
      </w:pPr>
      <w:r>
        <w:rPr>
          <w:rFonts w:hint="eastAsia" w:hAnsi="仿宋_GB2312" w:cs="仿宋_GB2312"/>
          <w:bCs/>
          <w:szCs w:val="28"/>
        </w:rPr>
        <w:t>本模块所涉及的数据处理算法仅限于基本运算、逻辑运算、数据类型转换、数组操作、字符串处理的组合：</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基本运算：加、减、乘、除、求模；</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逻辑运算：与、或、非、同或、异或、移位；</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数据类型转换：字符与ASCII码转换、文本与数字转换、进制转换；</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数组操作：插入、删除、查找、排序；</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字符串处理：连接、截取、查找、逆置。</w:t>
      </w:r>
    </w:p>
    <w:p>
      <w:pPr>
        <w:pStyle w:val="23"/>
      </w:pPr>
      <w:r>
        <w:rPr>
          <w:rFonts w:hint="eastAsia"/>
        </w:rPr>
        <w:t>五、注意事项</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选手按规定时间进入练习赛道进行赛道任务测试，每次五分钟，过时不补，须等待下一次测试机会。</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在竞赛过程中，选手不得触碰竞赛平台或移动终端。</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参赛队若放弃本模块竞赛测评，队长须前往竞赛测试区确认签字，表明自愿放弃竞赛测评。</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本模块竞赛测评过程中，选手拥有两次启动竞赛平台机会，但总用时不超过5分钟，若超出5分钟，则超出时间所获得的成绩无效。</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本模块竞赛第二轮测评结束后，各参赛队返回对应工位等候裁判指令。</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竞赛结束后，参赛队须将竞赛当天下发的全部资料（包含但不限于：纸质文件、U盘、草稿纸）交给现场裁判，清理好工位并带上自带仪器与工具方可离开赛场。</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本赛题所涉及的竞赛平台、标志物使用说明、通信协议等技术资料均由大赛选定的企业提供。</w:t>
      </w:r>
    </w:p>
    <w:p>
      <w:pPr>
        <w:ind w:firstLine="560"/>
      </w:pPr>
    </w:p>
    <w:sectPr>
      <w:headerReference r:id="rId7" w:type="first"/>
      <w:footerReference r:id="rId10" w:type="first"/>
      <w:headerReference r:id="rId5" w:type="default"/>
      <w:footerReference r:id="rId8" w:type="default"/>
      <w:headerReference r:id="rId6" w:type="even"/>
      <w:footerReference r:id="rId9" w:type="even"/>
      <w:pgSz w:w="11906" w:h="16838"/>
      <w:pgMar w:top="1871" w:right="1361" w:bottom="1757" w:left="1474" w:header="851" w:footer="1247"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
                            <w:docPartObj>
                              <w:docPartGallery w:val="autotext"/>
                            </w:docPartObj>
                          </w:sdtPr>
                          <w:sdtEndPr>
                            <w:rPr>
                              <w:rFonts w:hint="eastAsia" w:ascii="仿宋_GB2312" w:hAnsi="仿宋_GB2312" w:eastAsia="仿宋_GB2312" w:cs="仿宋_GB2312"/>
                              <w:sz w:val="28"/>
                              <w:szCs w:val="28"/>
                            </w:rPr>
                          </w:sdtEndPr>
                          <w:sdtContent>
                            <w:p>
                              <w:pPr>
                                <w:pStyle w:val="6"/>
                                <w:ind w:firstLine="3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rPr>
                                <w:t>2</w:t>
                              </w:r>
                              <w:r>
                                <w:rPr>
                                  <w:rFonts w:hint="eastAsia" w:ascii="仿宋_GB2312" w:hAnsi="仿宋_GB2312" w:eastAsia="仿宋_GB2312" w:cs="仿宋_GB2312"/>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2"/>
                      <w:docPartObj>
                        <w:docPartGallery w:val="autotext"/>
                      </w:docPartObj>
                    </w:sdtPr>
                    <w:sdtEndPr>
                      <w:rPr>
                        <w:rFonts w:hint="eastAsia" w:ascii="仿宋_GB2312" w:hAnsi="仿宋_GB2312" w:eastAsia="仿宋_GB2312" w:cs="仿宋_GB2312"/>
                        <w:sz w:val="28"/>
                        <w:szCs w:val="28"/>
                      </w:rPr>
                    </w:sdtEndPr>
                    <w:sdtContent>
                      <w:p>
                        <w:pPr>
                          <w:pStyle w:val="6"/>
                          <w:ind w:firstLine="3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rPr>
                          <w:t>2</w:t>
                        </w:r>
                        <w:r>
                          <w:rPr>
                            <w:rFonts w:hint="eastAsia" w:ascii="仿宋_GB2312" w:hAnsi="仿宋_GB2312" w:eastAsia="仿宋_GB2312" w:cs="仿宋_GB2312"/>
                            <w:sz w:val="28"/>
                            <w:szCs w:val="28"/>
                          </w:rPr>
                          <w:fldChar w:fldCharType="end"/>
                        </w:r>
                      </w:p>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76E6F9"/>
    <w:multiLevelType w:val="singleLevel"/>
    <w:tmpl w:val="9C76E6F9"/>
    <w:lvl w:ilvl="0" w:tentative="0">
      <w:start w:val="1"/>
      <w:numFmt w:val="decimal"/>
      <w:suff w:val="nothing"/>
      <w:lvlText w:val="%1．"/>
      <w:lvlJc w:val="left"/>
      <w:pPr>
        <w:ind w:left="0" w:firstLine="400"/>
      </w:pPr>
      <w:rPr>
        <w:rFonts w:hint="default"/>
      </w:rPr>
    </w:lvl>
  </w:abstractNum>
  <w:abstractNum w:abstractNumId="1">
    <w:nsid w:val="A0602E1A"/>
    <w:multiLevelType w:val="singleLevel"/>
    <w:tmpl w:val="A0602E1A"/>
    <w:lvl w:ilvl="0" w:tentative="0">
      <w:start w:val="1"/>
      <w:numFmt w:val="decimal"/>
      <w:suff w:val="nothing"/>
      <w:lvlText w:val="%1．"/>
      <w:lvlJc w:val="left"/>
      <w:pPr>
        <w:ind w:left="0" w:firstLine="1134"/>
      </w:pPr>
      <w:rPr>
        <w:rFonts w:hint="default"/>
      </w:rPr>
    </w:lvl>
  </w:abstractNum>
  <w:abstractNum w:abstractNumId="2">
    <w:nsid w:val="131B3BBB"/>
    <w:multiLevelType w:val="singleLevel"/>
    <w:tmpl w:val="131B3BBB"/>
    <w:lvl w:ilvl="0" w:tentative="0">
      <w:start w:val="1"/>
      <w:numFmt w:val="decimal"/>
      <w:suff w:val="nothing"/>
      <w:lvlText w:val="%1．"/>
      <w:lvlJc w:val="left"/>
      <w:pPr>
        <w:ind w:left="0" w:firstLine="1134"/>
      </w:pPr>
      <w:rPr>
        <w:rFonts w:hint="default"/>
      </w:rPr>
    </w:lvl>
  </w:abstractNum>
  <w:abstractNum w:abstractNumId="3">
    <w:nsid w:val="1A9C1487"/>
    <w:multiLevelType w:val="multilevel"/>
    <w:tmpl w:val="1A9C1487"/>
    <w:lvl w:ilvl="0" w:tentative="0">
      <w:start w:val="1"/>
      <w:numFmt w:val="decimal"/>
      <w:suff w:val="nothing"/>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2F3D7601"/>
    <w:multiLevelType w:val="multilevel"/>
    <w:tmpl w:val="2F3D7601"/>
    <w:lvl w:ilvl="0" w:tentative="0">
      <w:start w:val="1"/>
      <w:numFmt w:val="decimal"/>
      <w:lvlText w:val="%1."/>
      <w:lvlJc w:val="left"/>
      <w:pPr>
        <w:ind w:left="0" w:firstLine="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493E1569"/>
    <w:multiLevelType w:val="multilevel"/>
    <w:tmpl w:val="493E156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F1B1470"/>
    <w:multiLevelType w:val="multilevel"/>
    <w:tmpl w:val="4F1B147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2ADC46"/>
    <w:multiLevelType w:val="singleLevel"/>
    <w:tmpl w:val="532ADC46"/>
    <w:lvl w:ilvl="0" w:tentative="0">
      <w:start w:val="1"/>
      <w:numFmt w:val="decimal"/>
      <w:suff w:val="space"/>
      <w:lvlText w:val="%1."/>
      <w:lvlJc w:val="left"/>
    </w:lvl>
  </w:abstractNum>
  <w:abstractNum w:abstractNumId="8">
    <w:nsid w:val="77A961B3"/>
    <w:multiLevelType w:val="multilevel"/>
    <w:tmpl w:val="77A961B3"/>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78AB1289"/>
    <w:multiLevelType w:val="multilevel"/>
    <w:tmpl w:val="78AB128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9"/>
  </w:num>
  <w:num w:numId="3">
    <w:abstractNumId w:val="6"/>
  </w:num>
  <w:num w:numId="4">
    <w:abstractNumId w:val="5"/>
  </w:num>
  <w:num w:numId="5">
    <w:abstractNumId w:val="4"/>
  </w:num>
  <w:num w:numId="6">
    <w:abstractNumId w:val="3"/>
  </w:num>
  <w:num w:numId="7">
    <w:abstractNumId w:val="8"/>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removePersonalInformation/>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3CA"/>
    <w:rsid w:val="0000655D"/>
    <w:rsid w:val="00010D1E"/>
    <w:rsid w:val="00081AE4"/>
    <w:rsid w:val="000A55EC"/>
    <w:rsid w:val="000A5E67"/>
    <w:rsid w:val="000E4FAF"/>
    <w:rsid w:val="00111555"/>
    <w:rsid w:val="00116A86"/>
    <w:rsid w:val="0012176F"/>
    <w:rsid w:val="00142678"/>
    <w:rsid w:val="00157646"/>
    <w:rsid w:val="00170191"/>
    <w:rsid w:val="001903CB"/>
    <w:rsid w:val="0019488C"/>
    <w:rsid w:val="001A21C9"/>
    <w:rsid w:val="001B2314"/>
    <w:rsid w:val="001B7063"/>
    <w:rsid w:val="001D0CBE"/>
    <w:rsid w:val="001F6082"/>
    <w:rsid w:val="002041B4"/>
    <w:rsid w:val="0020677C"/>
    <w:rsid w:val="00210335"/>
    <w:rsid w:val="00235BDA"/>
    <w:rsid w:val="00236F9A"/>
    <w:rsid w:val="002624F9"/>
    <w:rsid w:val="0027112A"/>
    <w:rsid w:val="00297D7C"/>
    <w:rsid w:val="002B58DD"/>
    <w:rsid w:val="002B7221"/>
    <w:rsid w:val="002F0231"/>
    <w:rsid w:val="003014BF"/>
    <w:rsid w:val="00304525"/>
    <w:rsid w:val="00312B77"/>
    <w:rsid w:val="00334532"/>
    <w:rsid w:val="003609C6"/>
    <w:rsid w:val="00382F0B"/>
    <w:rsid w:val="00390948"/>
    <w:rsid w:val="003A53B9"/>
    <w:rsid w:val="004021E4"/>
    <w:rsid w:val="004047DE"/>
    <w:rsid w:val="00420185"/>
    <w:rsid w:val="0042155B"/>
    <w:rsid w:val="0042386D"/>
    <w:rsid w:val="00437DF5"/>
    <w:rsid w:val="00442CC7"/>
    <w:rsid w:val="0047612F"/>
    <w:rsid w:val="004A2660"/>
    <w:rsid w:val="004B4230"/>
    <w:rsid w:val="004C191A"/>
    <w:rsid w:val="004D61CC"/>
    <w:rsid w:val="004F31B8"/>
    <w:rsid w:val="00504944"/>
    <w:rsid w:val="00517040"/>
    <w:rsid w:val="0054695B"/>
    <w:rsid w:val="00555A84"/>
    <w:rsid w:val="00583D30"/>
    <w:rsid w:val="005D086E"/>
    <w:rsid w:val="005E1014"/>
    <w:rsid w:val="005E3693"/>
    <w:rsid w:val="005E4063"/>
    <w:rsid w:val="006012D5"/>
    <w:rsid w:val="0062290B"/>
    <w:rsid w:val="00635A28"/>
    <w:rsid w:val="00643FB6"/>
    <w:rsid w:val="00676901"/>
    <w:rsid w:val="006869C2"/>
    <w:rsid w:val="006A040F"/>
    <w:rsid w:val="006D202C"/>
    <w:rsid w:val="00701298"/>
    <w:rsid w:val="00703B2F"/>
    <w:rsid w:val="00707F61"/>
    <w:rsid w:val="00721AF3"/>
    <w:rsid w:val="0073093B"/>
    <w:rsid w:val="007353CA"/>
    <w:rsid w:val="007562B8"/>
    <w:rsid w:val="007A75EA"/>
    <w:rsid w:val="007B46BE"/>
    <w:rsid w:val="007F39A8"/>
    <w:rsid w:val="007F7D09"/>
    <w:rsid w:val="00800297"/>
    <w:rsid w:val="00807B12"/>
    <w:rsid w:val="00811B48"/>
    <w:rsid w:val="00841544"/>
    <w:rsid w:val="00850E30"/>
    <w:rsid w:val="0085203C"/>
    <w:rsid w:val="00880E2C"/>
    <w:rsid w:val="00884039"/>
    <w:rsid w:val="0089498E"/>
    <w:rsid w:val="008C53C9"/>
    <w:rsid w:val="008E6323"/>
    <w:rsid w:val="009049F6"/>
    <w:rsid w:val="00955778"/>
    <w:rsid w:val="009D72B9"/>
    <w:rsid w:val="009E7F83"/>
    <w:rsid w:val="00A05148"/>
    <w:rsid w:val="00A211D5"/>
    <w:rsid w:val="00A364C3"/>
    <w:rsid w:val="00A40726"/>
    <w:rsid w:val="00A502E5"/>
    <w:rsid w:val="00A56666"/>
    <w:rsid w:val="00A644A8"/>
    <w:rsid w:val="00A74C8A"/>
    <w:rsid w:val="00A867AA"/>
    <w:rsid w:val="00A91ED3"/>
    <w:rsid w:val="00AA5020"/>
    <w:rsid w:val="00AB42CA"/>
    <w:rsid w:val="00AB503A"/>
    <w:rsid w:val="00AC084C"/>
    <w:rsid w:val="00AD0E9A"/>
    <w:rsid w:val="00AD22AB"/>
    <w:rsid w:val="00B0370E"/>
    <w:rsid w:val="00B2271A"/>
    <w:rsid w:val="00B41FD4"/>
    <w:rsid w:val="00B6213A"/>
    <w:rsid w:val="00B65B4E"/>
    <w:rsid w:val="00B67A71"/>
    <w:rsid w:val="00B71904"/>
    <w:rsid w:val="00B80843"/>
    <w:rsid w:val="00B82180"/>
    <w:rsid w:val="00B90384"/>
    <w:rsid w:val="00B90A8A"/>
    <w:rsid w:val="00BC4E15"/>
    <w:rsid w:val="00BE4842"/>
    <w:rsid w:val="00C040CA"/>
    <w:rsid w:val="00C201AF"/>
    <w:rsid w:val="00C26D73"/>
    <w:rsid w:val="00C63550"/>
    <w:rsid w:val="00C96B48"/>
    <w:rsid w:val="00CA196D"/>
    <w:rsid w:val="00CA5B4D"/>
    <w:rsid w:val="00CA720D"/>
    <w:rsid w:val="00CF56A0"/>
    <w:rsid w:val="00D056F0"/>
    <w:rsid w:val="00D34A8F"/>
    <w:rsid w:val="00D97830"/>
    <w:rsid w:val="00DC0361"/>
    <w:rsid w:val="00DC38C4"/>
    <w:rsid w:val="00DD6C54"/>
    <w:rsid w:val="00DF2F0C"/>
    <w:rsid w:val="00E049FA"/>
    <w:rsid w:val="00E1463C"/>
    <w:rsid w:val="00E342AB"/>
    <w:rsid w:val="00E401C2"/>
    <w:rsid w:val="00E961C5"/>
    <w:rsid w:val="00EA31DE"/>
    <w:rsid w:val="00EA54EC"/>
    <w:rsid w:val="00EC2F8A"/>
    <w:rsid w:val="00ED2565"/>
    <w:rsid w:val="00EF0253"/>
    <w:rsid w:val="00F3008E"/>
    <w:rsid w:val="00F537D5"/>
    <w:rsid w:val="00F5554A"/>
    <w:rsid w:val="00F57C88"/>
    <w:rsid w:val="00F65B4C"/>
    <w:rsid w:val="00F72B10"/>
    <w:rsid w:val="00F871B0"/>
    <w:rsid w:val="01690867"/>
    <w:rsid w:val="02283B1A"/>
    <w:rsid w:val="023B618B"/>
    <w:rsid w:val="024E27A3"/>
    <w:rsid w:val="02C211B5"/>
    <w:rsid w:val="02C925E5"/>
    <w:rsid w:val="02EF122E"/>
    <w:rsid w:val="02F6527F"/>
    <w:rsid w:val="033A7E8E"/>
    <w:rsid w:val="036A57EF"/>
    <w:rsid w:val="04046D6E"/>
    <w:rsid w:val="040F4A05"/>
    <w:rsid w:val="04660056"/>
    <w:rsid w:val="04AD5A9D"/>
    <w:rsid w:val="04F132FA"/>
    <w:rsid w:val="052554E0"/>
    <w:rsid w:val="058650F7"/>
    <w:rsid w:val="05AC217A"/>
    <w:rsid w:val="05DC523E"/>
    <w:rsid w:val="05E83F1A"/>
    <w:rsid w:val="06007B0B"/>
    <w:rsid w:val="06340692"/>
    <w:rsid w:val="067757B2"/>
    <w:rsid w:val="06F378F4"/>
    <w:rsid w:val="070740C7"/>
    <w:rsid w:val="0729053A"/>
    <w:rsid w:val="073D69C5"/>
    <w:rsid w:val="078606FF"/>
    <w:rsid w:val="07A7194C"/>
    <w:rsid w:val="07B65E2F"/>
    <w:rsid w:val="08063972"/>
    <w:rsid w:val="080C161A"/>
    <w:rsid w:val="08580DF7"/>
    <w:rsid w:val="086E0DF4"/>
    <w:rsid w:val="08E27DF9"/>
    <w:rsid w:val="092B5716"/>
    <w:rsid w:val="09773FA4"/>
    <w:rsid w:val="09783632"/>
    <w:rsid w:val="0990270D"/>
    <w:rsid w:val="099E6358"/>
    <w:rsid w:val="09EF5F03"/>
    <w:rsid w:val="0A7B5C64"/>
    <w:rsid w:val="0B1D68BC"/>
    <w:rsid w:val="0B2401AA"/>
    <w:rsid w:val="0B4A68AE"/>
    <w:rsid w:val="0B775192"/>
    <w:rsid w:val="0C497F87"/>
    <w:rsid w:val="0CBB25E3"/>
    <w:rsid w:val="0CC15831"/>
    <w:rsid w:val="0D187902"/>
    <w:rsid w:val="0D4D5173"/>
    <w:rsid w:val="0D4E78D0"/>
    <w:rsid w:val="0D6B1441"/>
    <w:rsid w:val="0D997286"/>
    <w:rsid w:val="0E0E3E2B"/>
    <w:rsid w:val="0E3D33A9"/>
    <w:rsid w:val="0E6A0FEF"/>
    <w:rsid w:val="0EC31666"/>
    <w:rsid w:val="0EDB7A1B"/>
    <w:rsid w:val="0EF90284"/>
    <w:rsid w:val="0F353869"/>
    <w:rsid w:val="0FDE6F12"/>
    <w:rsid w:val="0FFE6382"/>
    <w:rsid w:val="1080446C"/>
    <w:rsid w:val="11093B5C"/>
    <w:rsid w:val="11112721"/>
    <w:rsid w:val="1143200B"/>
    <w:rsid w:val="116B7B35"/>
    <w:rsid w:val="11937688"/>
    <w:rsid w:val="11AE186C"/>
    <w:rsid w:val="11D93140"/>
    <w:rsid w:val="11DD5EC4"/>
    <w:rsid w:val="11E0045C"/>
    <w:rsid w:val="120E3581"/>
    <w:rsid w:val="1218079C"/>
    <w:rsid w:val="12207A9C"/>
    <w:rsid w:val="12563966"/>
    <w:rsid w:val="127758A8"/>
    <w:rsid w:val="128763A6"/>
    <w:rsid w:val="12EC044D"/>
    <w:rsid w:val="132B3FFF"/>
    <w:rsid w:val="133C2D5A"/>
    <w:rsid w:val="135C59FA"/>
    <w:rsid w:val="13775FB9"/>
    <w:rsid w:val="13E7749C"/>
    <w:rsid w:val="15492BBB"/>
    <w:rsid w:val="15693553"/>
    <w:rsid w:val="15A76526"/>
    <w:rsid w:val="15C24316"/>
    <w:rsid w:val="15F048A8"/>
    <w:rsid w:val="164A0FA6"/>
    <w:rsid w:val="168A7CEE"/>
    <w:rsid w:val="16DC33AA"/>
    <w:rsid w:val="171A6AC2"/>
    <w:rsid w:val="17425097"/>
    <w:rsid w:val="185C72B3"/>
    <w:rsid w:val="18AC294A"/>
    <w:rsid w:val="19806D9F"/>
    <w:rsid w:val="19BD6696"/>
    <w:rsid w:val="19F43F60"/>
    <w:rsid w:val="1A514FE4"/>
    <w:rsid w:val="1A677B91"/>
    <w:rsid w:val="1AB5651E"/>
    <w:rsid w:val="1AC8728A"/>
    <w:rsid w:val="1ACC14B6"/>
    <w:rsid w:val="1ADA5B74"/>
    <w:rsid w:val="1B5044D7"/>
    <w:rsid w:val="1B727D69"/>
    <w:rsid w:val="1B9A43BE"/>
    <w:rsid w:val="1B9A5BEF"/>
    <w:rsid w:val="1BC5471E"/>
    <w:rsid w:val="1BD541C5"/>
    <w:rsid w:val="1BDF63BE"/>
    <w:rsid w:val="1BEA4383"/>
    <w:rsid w:val="1C420FB8"/>
    <w:rsid w:val="1C6D5309"/>
    <w:rsid w:val="1C703FC7"/>
    <w:rsid w:val="1C7928BE"/>
    <w:rsid w:val="1C82081E"/>
    <w:rsid w:val="1CB72430"/>
    <w:rsid w:val="1CCB2713"/>
    <w:rsid w:val="1CD40737"/>
    <w:rsid w:val="1D770E07"/>
    <w:rsid w:val="1DB55352"/>
    <w:rsid w:val="1E5C4999"/>
    <w:rsid w:val="1EEC6E63"/>
    <w:rsid w:val="1F0A3528"/>
    <w:rsid w:val="1F56495B"/>
    <w:rsid w:val="1F6F28B4"/>
    <w:rsid w:val="1F7A14AE"/>
    <w:rsid w:val="1FB73832"/>
    <w:rsid w:val="202D6640"/>
    <w:rsid w:val="204F057E"/>
    <w:rsid w:val="206371DE"/>
    <w:rsid w:val="209E42D7"/>
    <w:rsid w:val="21145822"/>
    <w:rsid w:val="21945674"/>
    <w:rsid w:val="21C56DD7"/>
    <w:rsid w:val="21F635C5"/>
    <w:rsid w:val="221D2309"/>
    <w:rsid w:val="2232023F"/>
    <w:rsid w:val="23416CFF"/>
    <w:rsid w:val="235C7FD7"/>
    <w:rsid w:val="23AB0829"/>
    <w:rsid w:val="24302C94"/>
    <w:rsid w:val="25237A04"/>
    <w:rsid w:val="255C0E56"/>
    <w:rsid w:val="2580320C"/>
    <w:rsid w:val="25804D70"/>
    <w:rsid w:val="262A0184"/>
    <w:rsid w:val="263B33C4"/>
    <w:rsid w:val="264B1FE1"/>
    <w:rsid w:val="27046A0A"/>
    <w:rsid w:val="27350D1C"/>
    <w:rsid w:val="277D782C"/>
    <w:rsid w:val="278D7351"/>
    <w:rsid w:val="27924410"/>
    <w:rsid w:val="27CB592D"/>
    <w:rsid w:val="27EC6E7A"/>
    <w:rsid w:val="28284FBB"/>
    <w:rsid w:val="283053EA"/>
    <w:rsid w:val="285E2EC9"/>
    <w:rsid w:val="288E47BF"/>
    <w:rsid w:val="289E2245"/>
    <w:rsid w:val="28B54020"/>
    <w:rsid w:val="29064053"/>
    <w:rsid w:val="291073BE"/>
    <w:rsid w:val="29566C12"/>
    <w:rsid w:val="29FE604C"/>
    <w:rsid w:val="2A223C1D"/>
    <w:rsid w:val="2A63767D"/>
    <w:rsid w:val="2A7B2CAA"/>
    <w:rsid w:val="2B0F2D61"/>
    <w:rsid w:val="2B2374F8"/>
    <w:rsid w:val="2B333655"/>
    <w:rsid w:val="2B416BF4"/>
    <w:rsid w:val="2BEF250B"/>
    <w:rsid w:val="2C5A5431"/>
    <w:rsid w:val="2D446F4E"/>
    <w:rsid w:val="2D7C1A07"/>
    <w:rsid w:val="2E6A137A"/>
    <w:rsid w:val="2EDE16BE"/>
    <w:rsid w:val="2F0C031F"/>
    <w:rsid w:val="2F3B1150"/>
    <w:rsid w:val="2F590C0B"/>
    <w:rsid w:val="2F6A02FE"/>
    <w:rsid w:val="2F9B4646"/>
    <w:rsid w:val="2FC10AC5"/>
    <w:rsid w:val="2FC77C9A"/>
    <w:rsid w:val="2FE7EE28"/>
    <w:rsid w:val="3046611F"/>
    <w:rsid w:val="30D43222"/>
    <w:rsid w:val="30FC3A37"/>
    <w:rsid w:val="3205576A"/>
    <w:rsid w:val="32127038"/>
    <w:rsid w:val="32296EC9"/>
    <w:rsid w:val="32574EE9"/>
    <w:rsid w:val="32C16701"/>
    <w:rsid w:val="32E423FD"/>
    <w:rsid w:val="33701CC0"/>
    <w:rsid w:val="338708F2"/>
    <w:rsid w:val="33937791"/>
    <w:rsid w:val="3400573B"/>
    <w:rsid w:val="3470514E"/>
    <w:rsid w:val="34AE6898"/>
    <w:rsid w:val="34DF0D37"/>
    <w:rsid w:val="34F75385"/>
    <w:rsid w:val="350B09AF"/>
    <w:rsid w:val="353D5FCC"/>
    <w:rsid w:val="363B54FE"/>
    <w:rsid w:val="363D092C"/>
    <w:rsid w:val="36482C6A"/>
    <w:rsid w:val="36534D86"/>
    <w:rsid w:val="365C27E0"/>
    <w:rsid w:val="368C5786"/>
    <w:rsid w:val="36E308C3"/>
    <w:rsid w:val="373403CF"/>
    <w:rsid w:val="3780222F"/>
    <w:rsid w:val="386D4A10"/>
    <w:rsid w:val="38890AA3"/>
    <w:rsid w:val="3973528A"/>
    <w:rsid w:val="39B851F9"/>
    <w:rsid w:val="39DD6157"/>
    <w:rsid w:val="3A05585B"/>
    <w:rsid w:val="3A586526"/>
    <w:rsid w:val="3AF05225"/>
    <w:rsid w:val="3B0B37B1"/>
    <w:rsid w:val="3B0C6C1A"/>
    <w:rsid w:val="3B2E2B56"/>
    <w:rsid w:val="3B350118"/>
    <w:rsid w:val="3B7D55FF"/>
    <w:rsid w:val="3B8052B4"/>
    <w:rsid w:val="3C0278EE"/>
    <w:rsid w:val="3C4F6BBE"/>
    <w:rsid w:val="3C560E0B"/>
    <w:rsid w:val="3C623BA5"/>
    <w:rsid w:val="3CA43D9C"/>
    <w:rsid w:val="3CEC4B08"/>
    <w:rsid w:val="3CF64CFF"/>
    <w:rsid w:val="3E306E44"/>
    <w:rsid w:val="3E8C34EB"/>
    <w:rsid w:val="3EC751E8"/>
    <w:rsid w:val="3F206F21"/>
    <w:rsid w:val="3F524435"/>
    <w:rsid w:val="3F6A1E8D"/>
    <w:rsid w:val="3F8E2EA0"/>
    <w:rsid w:val="403C2328"/>
    <w:rsid w:val="404B1D64"/>
    <w:rsid w:val="405E7421"/>
    <w:rsid w:val="40B807FC"/>
    <w:rsid w:val="412801BB"/>
    <w:rsid w:val="412F6B09"/>
    <w:rsid w:val="41B812BD"/>
    <w:rsid w:val="41D74CCC"/>
    <w:rsid w:val="41F95951"/>
    <w:rsid w:val="421B11E4"/>
    <w:rsid w:val="429B202E"/>
    <w:rsid w:val="42B25175"/>
    <w:rsid w:val="43DD2C8D"/>
    <w:rsid w:val="43E005E6"/>
    <w:rsid w:val="43E66232"/>
    <w:rsid w:val="44042A05"/>
    <w:rsid w:val="442B50C6"/>
    <w:rsid w:val="443E0AF9"/>
    <w:rsid w:val="44BC7228"/>
    <w:rsid w:val="44FB0BE1"/>
    <w:rsid w:val="453B6708"/>
    <w:rsid w:val="45CB1BCE"/>
    <w:rsid w:val="45CD50AB"/>
    <w:rsid w:val="45EB7F02"/>
    <w:rsid w:val="461D0333"/>
    <w:rsid w:val="46950CFA"/>
    <w:rsid w:val="46CB5429"/>
    <w:rsid w:val="473813B9"/>
    <w:rsid w:val="47CC07A2"/>
    <w:rsid w:val="480A4D4E"/>
    <w:rsid w:val="484F3061"/>
    <w:rsid w:val="486E613F"/>
    <w:rsid w:val="48BB33D0"/>
    <w:rsid w:val="48DE23C6"/>
    <w:rsid w:val="4A106E01"/>
    <w:rsid w:val="4A2A3518"/>
    <w:rsid w:val="4A960E15"/>
    <w:rsid w:val="4AC34BC5"/>
    <w:rsid w:val="4AF35D68"/>
    <w:rsid w:val="4AFE1156"/>
    <w:rsid w:val="4B4B68FB"/>
    <w:rsid w:val="4B8764A4"/>
    <w:rsid w:val="4B9D1DD6"/>
    <w:rsid w:val="4BAC3193"/>
    <w:rsid w:val="4C090FAE"/>
    <w:rsid w:val="4CE129DC"/>
    <w:rsid w:val="4CE261BC"/>
    <w:rsid w:val="4D0432B8"/>
    <w:rsid w:val="4D095C31"/>
    <w:rsid w:val="4D336E5A"/>
    <w:rsid w:val="4D471F75"/>
    <w:rsid w:val="4D6715D4"/>
    <w:rsid w:val="4DA73920"/>
    <w:rsid w:val="4E0D2A25"/>
    <w:rsid w:val="4EBA163D"/>
    <w:rsid w:val="4F051F51"/>
    <w:rsid w:val="4F3417FF"/>
    <w:rsid w:val="4F565CEC"/>
    <w:rsid w:val="4F7B1749"/>
    <w:rsid w:val="4FDF562E"/>
    <w:rsid w:val="505E0960"/>
    <w:rsid w:val="50657F45"/>
    <w:rsid w:val="50F626AA"/>
    <w:rsid w:val="519F4A4F"/>
    <w:rsid w:val="521264BC"/>
    <w:rsid w:val="52957E3F"/>
    <w:rsid w:val="5331159F"/>
    <w:rsid w:val="53950E3C"/>
    <w:rsid w:val="53B048DF"/>
    <w:rsid w:val="53ED45CC"/>
    <w:rsid w:val="54503477"/>
    <w:rsid w:val="54B358D6"/>
    <w:rsid w:val="54B66D66"/>
    <w:rsid w:val="5510422C"/>
    <w:rsid w:val="55415355"/>
    <w:rsid w:val="554B484C"/>
    <w:rsid w:val="556A0B7E"/>
    <w:rsid w:val="55877128"/>
    <w:rsid w:val="558C06FD"/>
    <w:rsid w:val="559D541A"/>
    <w:rsid w:val="559F05CE"/>
    <w:rsid w:val="55A868FC"/>
    <w:rsid w:val="55BA2D2E"/>
    <w:rsid w:val="564B03D8"/>
    <w:rsid w:val="5651164D"/>
    <w:rsid w:val="57041ACC"/>
    <w:rsid w:val="57360CD1"/>
    <w:rsid w:val="573A490D"/>
    <w:rsid w:val="57456554"/>
    <w:rsid w:val="57924D33"/>
    <w:rsid w:val="57A56A77"/>
    <w:rsid w:val="57BA0A75"/>
    <w:rsid w:val="57D25293"/>
    <w:rsid w:val="58492483"/>
    <w:rsid w:val="58BD0DB5"/>
    <w:rsid w:val="58DD4D23"/>
    <w:rsid w:val="5916176D"/>
    <w:rsid w:val="592C1A8F"/>
    <w:rsid w:val="5940105F"/>
    <w:rsid w:val="59C60A73"/>
    <w:rsid w:val="59EB5EE8"/>
    <w:rsid w:val="5A965DC3"/>
    <w:rsid w:val="5AB305DE"/>
    <w:rsid w:val="5B070E9F"/>
    <w:rsid w:val="5B16276C"/>
    <w:rsid w:val="5B6C37EB"/>
    <w:rsid w:val="5B926EE0"/>
    <w:rsid w:val="5BCE0D3D"/>
    <w:rsid w:val="5BF93DA4"/>
    <w:rsid w:val="5C19460B"/>
    <w:rsid w:val="5CE127EC"/>
    <w:rsid w:val="5CF535EB"/>
    <w:rsid w:val="5CFD3F04"/>
    <w:rsid w:val="5D2D28BB"/>
    <w:rsid w:val="5D350C81"/>
    <w:rsid w:val="5E0A0F4B"/>
    <w:rsid w:val="5E262640"/>
    <w:rsid w:val="5E3143CF"/>
    <w:rsid w:val="5E6631B4"/>
    <w:rsid w:val="5EA14797"/>
    <w:rsid w:val="5EAE0A1E"/>
    <w:rsid w:val="5EB1440C"/>
    <w:rsid w:val="5EC70562"/>
    <w:rsid w:val="5F3278F8"/>
    <w:rsid w:val="5F572C30"/>
    <w:rsid w:val="5FA75FB4"/>
    <w:rsid w:val="600A1DC1"/>
    <w:rsid w:val="604165C4"/>
    <w:rsid w:val="604D6C3E"/>
    <w:rsid w:val="60631FB2"/>
    <w:rsid w:val="6063505D"/>
    <w:rsid w:val="606E4F54"/>
    <w:rsid w:val="60AE2165"/>
    <w:rsid w:val="611A06D6"/>
    <w:rsid w:val="61677D4A"/>
    <w:rsid w:val="61D129DE"/>
    <w:rsid w:val="61F609DB"/>
    <w:rsid w:val="62415674"/>
    <w:rsid w:val="62653DEE"/>
    <w:rsid w:val="62950454"/>
    <w:rsid w:val="62B1086A"/>
    <w:rsid w:val="634228DD"/>
    <w:rsid w:val="635C7C16"/>
    <w:rsid w:val="636226BD"/>
    <w:rsid w:val="64155954"/>
    <w:rsid w:val="64552BCF"/>
    <w:rsid w:val="64BA6CE2"/>
    <w:rsid w:val="64F02879"/>
    <w:rsid w:val="64FB3C52"/>
    <w:rsid w:val="650425CE"/>
    <w:rsid w:val="650465F2"/>
    <w:rsid w:val="65702492"/>
    <w:rsid w:val="65A973B1"/>
    <w:rsid w:val="66081D8B"/>
    <w:rsid w:val="667B6BF9"/>
    <w:rsid w:val="66972C3D"/>
    <w:rsid w:val="66DF1871"/>
    <w:rsid w:val="674F2E3F"/>
    <w:rsid w:val="678E67F9"/>
    <w:rsid w:val="67BF4A15"/>
    <w:rsid w:val="681D6BBF"/>
    <w:rsid w:val="68321E60"/>
    <w:rsid w:val="6833421C"/>
    <w:rsid w:val="686721E1"/>
    <w:rsid w:val="689515FD"/>
    <w:rsid w:val="69FC1612"/>
    <w:rsid w:val="6ACF4FEB"/>
    <w:rsid w:val="6AE05BB6"/>
    <w:rsid w:val="6B3D107B"/>
    <w:rsid w:val="6BF33C30"/>
    <w:rsid w:val="6BFC1CA8"/>
    <w:rsid w:val="6C255303"/>
    <w:rsid w:val="6C351592"/>
    <w:rsid w:val="6C3E2DC1"/>
    <w:rsid w:val="6CB07763"/>
    <w:rsid w:val="6D397C66"/>
    <w:rsid w:val="6D5815ED"/>
    <w:rsid w:val="6DE42C86"/>
    <w:rsid w:val="6DE7435C"/>
    <w:rsid w:val="6E4E0914"/>
    <w:rsid w:val="6E6419CC"/>
    <w:rsid w:val="6F385EFD"/>
    <w:rsid w:val="6FDC3114"/>
    <w:rsid w:val="6FEE2E7A"/>
    <w:rsid w:val="70355124"/>
    <w:rsid w:val="70362235"/>
    <w:rsid w:val="708077D9"/>
    <w:rsid w:val="70953016"/>
    <w:rsid w:val="70A51E7F"/>
    <w:rsid w:val="70B036CF"/>
    <w:rsid w:val="714A7B67"/>
    <w:rsid w:val="71A46B70"/>
    <w:rsid w:val="71BF5E26"/>
    <w:rsid w:val="71C36910"/>
    <w:rsid w:val="71F27F24"/>
    <w:rsid w:val="71F6198A"/>
    <w:rsid w:val="72146884"/>
    <w:rsid w:val="730D0771"/>
    <w:rsid w:val="734712E0"/>
    <w:rsid w:val="73ED373A"/>
    <w:rsid w:val="74314E88"/>
    <w:rsid w:val="749E5111"/>
    <w:rsid w:val="74EB2DB7"/>
    <w:rsid w:val="754907BF"/>
    <w:rsid w:val="757C1AAD"/>
    <w:rsid w:val="75973A40"/>
    <w:rsid w:val="75AC3A6A"/>
    <w:rsid w:val="75C041ED"/>
    <w:rsid w:val="76A45456"/>
    <w:rsid w:val="76CD70F8"/>
    <w:rsid w:val="76D63DE6"/>
    <w:rsid w:val="76EF457D"/>
    <w:rsid w:val="77164EE6"/>
    <w:rsid w:val="777B5F5E"/>
    <w:rsid w:val="77AE4B91"/>
    <w:rsid w:val="77CE3142"/>
    <w:rsid w:val="77F83507"/>
    <w:rsid w:val="781718B6"/>
    <w:rsid w:val="784E06CC"/>
    <w:rsid w:val="789B1526"/>
    <w:rsid w:val="78C51C8B"/>
    <w:rsid w:val="79320DFA"/>
    <w:rsid w:val="794A385C"/>
    <w:rsid w:val="79814317"/>
    <w:rsid w:val="79896019"/>
    <w:rsid w:val="7A1E51E8"/>
    <w:rsid w:val="7A2F19DF"/>
    <w:rsid w:val="7A307E16"/>
    <w:rsid w:val="7A7C3E04"/>
    <w:rsid w:val="7AF11DAC"/>
    <w:rsid w:val="7B337CC0"/>
    <w:rsid w:val="7B3833BF"/>
    <w:rsid w:val="7B777E01"/>
    <w:rsid w:val="7C52693D"/>
    <w:rsid w:val="7CC22116"/>
    <w:rsid w:val="7CC43E43"/>
    <w:rsid w:val="7CC9789B"/>
    <w:rsid w:val="7CD33705"/>
    <w:rsid w:val="7CD703CC"/>
    <w:rsid w:val="7CE0628D"/>
    <w:rsid w:val="7D8834EF"/>
    <w:rsid w:val="7D931423"/>
    <w:rsid w:val="7DA40DD1"/>
    <w:rsid w:val="7DD3666B"/>
    <w:rsid w:val="7E016F8F"/>
    <w:rsid w:val="7E2D16E3"/>
    <w:rsid w:val="7EAE4EBE"/>
    <w:rsid w:val="7F241980"/>
    <w:rsid w:val="7F4F7300"/>
    <w:rsid w:val="7FBC2E59"/>
    <w:rsid w:val="7FFB2B9A"/>
    <w:rsid w:val="FED535A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仿宋_GB2312" w:hAnsi="Times New Roman" w:eastAsia="仿宋_GB2312" w:cs="Times New Roman"/>
      <w:kern w:val="2"/>
      <w:sz w:val="28"/>
      <w:szCs w:val="22"/>
      <w:lang w:val="en-US" w:eastAsia="zh-CN" w:bidi="ar-SA"/>
    </w:rPr>
  </w:style>
  <w:style w:type="paragraph" w:styleId="2">
    <w:name w:val="heading 3"/>
    <w:basedOn w:val="1"/>
    <w:next w:val="1"/>
    <w:unhideWhenUsed/>
    <w:qFormat/>
    <w:uiPriority w:val="0"/>
    <w:pPr>
      <w:keepNext/>
      <w:keepLines/>
      <w:spacing w:before="140" w:beforeLines="0" w:beforeAutospacing="0" w:after="140" w:afterLines="0" w:afterAutospacing="0" w:line="413" w:lineRule="auto"/>
      <w:ind w:firstLine="880" w:firstLineChars="200"/>
      <w:outlineLvl w:val="2"/>
    </w:pPr>
    <w:rPr>
      <w:rFonts w:ascii="Calibri" w:hAnsi="Calibri" w:eastAsia="楷体"/>
      <w:sz w:val="30"/>
      <w:szCs w:val="30"/>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9"/>
    <w:qFormat/>
    <w:uiPriority w:val="0"/>
    <w:pPr>
      <w:jc w:val="left"/>
    </w:pPr>
  </w:style>
  <w:style w:type="paragraph" w:styleId="4">
    <w:name w:val="Body Text"/>
    <w:basedOn w:val="1"/>
    <w:qFormat/>
    <w:uiPriority w:val="1"/>
    <w:pPr>
      <w:ind w:left="260" w:firstLine="559"/>
    </w:pPr>
    <w:rPr>
      <w:sz w:val="28"/>
      <w:szCs w:val="28"/>
    </w:rPr>
  </w:style>
  <w:style w:type="paragraph" w:styleId="5">
    <w:name w:val="Balloon Text"/>
    <w:basedOn w:val="1"/>
    <w:link w:val="21"/>
    <w:qFormat/>
    <w:uiPriority w:val="0"/>
    <w:pPr>
      <w:spacing w:line="240" w:lineRule="auto"/>
    </w:pPr>
    <w:rPr>
      <w:sz w:val="18"/>
      <w:szCs w:val="18"/>
    </w:rPr>
  </w:style>
  <w:style w:type="paragraph" w:styleId="6">
    <w:name w:val="footer"/>
    <w:basedOn w:val="1"/>
    <w:link w:val="18"/>
    <w:qFormat/>
    <w:uiPriority w:val="99"/>
    <w:pPr>
      <w:tabs>
        <w:tab w:val="center" w:pos="4153"/>
        <w:tab w:val="right" w:pos="8306"/>
      </w:tabs>
      <w:snapToGrid w:val="0"/>
      <w:spacing w:line="240" w:lineRule="auto"/>
      <w:jc w:val="left"/>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8">
    <w:name w:val="Title"/>
    <w:basedOn w:val="1"/>
    <w:next w:val="1"/>
    <w:qFormat/>
    <w:uiPriority w:val="0"/>
    <w:pPr>
      <w:snapToGrid w:val="0"/>
      <w:spacing w:line="540" w:lineRule="exact"/>
      <w:jc w:val="center"/>
    </w:pPr>
    <w:rPr>
      <w:rFonts w:ascii="黑体" w:hAnsi="黑体" w:eastAsia="黑体"/>
      <w:b/>
      <w:kern w:val="0"/>
      <w:sz w:val="36"/>
      <w:szCs w:val="36"/>
    </w:rPr>
  </w:style>
  <w:style w:type="paragraph" w:styleId="9">
    <w:name w:val="annotation subject"/>
    <w:basedOn w:val="3"/>
    <w:next w:val="3"/>
    <w:link w:val="20"/>
    <w:qFormat/>
    <w:uiPriority w:val="0"/>
    <w:rPr>
      <w:b/>
      <w:bCs/>
    </w:rPr>
  </w:style>
  <w:style w:type="character" w:styleId="12">
    <w:name w:val="annotation reference"/>
    <w:qFormat/>
    <w:uiPriority w:val="0"/>
    <w:rPr>
      <w:sz w:val="21"/>
      <w:szCs w:val="21"/>
    </w:rPr>
  </w:style>
  <w:style w:type="paragraph" w:customStyle="1" w:styleId="13">
    <w:name w:val="小标题"/>
    <w:basedOn w:val="1"/>
    <w:link w:val="14"/>
    <w:qFormat/>
    <w:uiPriority w:val="0"/>
    <w:pPr>
      <w:ind w:firstLine="0" w:firstLineChars="0"/>
    </w:pPr>
    <w:rPr>
      <w:rFonts w:ascii="Arial Narrow" w:hAnsi="Arial Narrow" w:eastAsia="黑体"/>
      <w:sz w:val="30"/>
      <w:szCs w:val="30"/>
    </w:rPr>
  </w:style>
  <w:style w:type="character" w:customStyle="1" w:styleId="14">
    <w:name w:val="小标题 字符"/>
    <w:basedOn w:val="11"/>
    <w:link w:val="13"/>
    <w:qFormat/>
    <w:uiPriority w:val="0"/>
    <w:rPr>
      <w:rFonts w:ascii="Arial Narrow" w:hAnsi="Arial Narrow" w:eastAsia="黑体" w:cs="Times New Roman"/>
      <w:kern w:val="2"/>
      <w:sz w:val="30"/>
      <w:szCs w:val="30"/>
    </w:rPr>
  </w:style>
  <w:style w:type="paragraph" w:customStyle="1" w:styleId="15">
    <w:name w:val="图表-格式1"/>
    <w:basedOn w:val="1"/>
    <w:qFormat/>
    <w:uiPriority w:val="0"/>
    <w:pPr>
      <w:spacing w:line="240" w:lineRule="auto"/>
      <w:ind w:firstLine="0" w:firstLineChars="0"/>
      <w:jc w:val="center"/>
    </w:pPr>
    <w:rPr>
      <w:sz w:val="24"/>
    </w:rPr>
  </w:style>
  <w:style w:type="paragraph" w:customStyle="1" w:styleId="16">
    <w:name w:val="表头-格式2"/>
    <w:basedOn w:val="1"/>
    <w:qFormat/>
    <w:uiPriority w:val="0"/>
    <w:pPr>
      <w:spacing w:line="240" w:lineRule="auto"/>
      <w:ind w:firstLine="0" w:firstLineChars="0"/>
      <w:jc w:val="center"/>
    </w:pPr>
    <w:rPr>
      <w:rFonts w:ascii="Calibri" w:hAnsi="Calibri" w:eastAsia="宋体"/>
      <w:b/>
      <w:sz w:val="24"/>
    </w:rPr>
  </w:style>
  <w:style w:type="character" w:customStyle="1" w:styleId="17">
    <w:name w:val="页眉 字符"/>
    <w:link w:val="7"/>
    <w:qFormat/>
    <w:uiPriority w:val="0"/>
    <w:rPr>
      <w:rFonts w:ascii="Times New Roman" w:hAnsi="Times New Roman" w:eastAsia="仿宋_GB2312"/>
      <w:kern w:val="2"/>
      <w:sz w:val="18"/>
      <w:szCs w:val="18"/>
    </w:rPr>
  </w:style>
  <w:style w:type="character" w:customStyle="1" w:styleId="18">
    <w:name w:val="页脚 字符"/>
    <w:link w:val="6"/>
    <w:qFormat/>
    <w:uiPriority w:val="99"/>
    <w:rPr>
      <w:rFonts w:ascii="Times New Roman" w:hAnsi="Times New Roman" w:eastAsia="仿宋_GB2312"/>
      <w:kern w:val="2"/>
      <w:sz w:val="18"/>
      <w:szCs w:val="18"/>
    </w:rPr>
  </w:style>
  <w:style w:type="character" w:customStyle="1" w:styleId="19">
    <w:name w:val="批注文字 字符"/>
    <w:link w:val="3"/>
    <w:qFormat/>
    <w:uiPriority w:val="0"/>
    <w:rPr>
      <w:rFonts w:ascii="Times New Roman" w:hAnsi="Times New Roman" w:eastAsia="仿宋_GB2312"/>
      <w:kern w:val="2"/>
      <w:sz w:val="28"/>
      <w:szCs w:val="22"/>
    </w:rPr>
  </w:style>
  <w:style w:type="character" w:customStyle="1" w:styleId="20">
    <w:name w:val="批注主题 字符"/>
    <w:link w:val="9"/>
    <w:qFormat/>
    <w:uiPriority w:val="0"/>
    <w:rPr>
      <w:rFonts w:ascii="Times New Roman" w:hAnsi="Times New Roman" w:eastAsia="仿宋_GB2312"/>
      <w:b/>
      <w:bCs/>
      <w:kern w:val="2"/>
      <w:sz w:val="28"/>
      <w:szCs w:val="22"/>
    </w:rPr>
  </w:style>
  <w:style w:type="character" w:customStyle="1" w:styleId="21">
    <w:name w:val="批注框文本 字符"/>
    <w:link w:val="5"/>
    <w:qFormat/>
    <w:uiPriority w:val="0"/>
    <w:rPr>
      <w:rFonts w:ascii="Times New Roman" w:hAnsi="Times New Roman" w:eastAsia="仿宋_GB2312"/>
      <w:kern w:val="2"/>
      <w:sz w:val="18"/>
      <w:szCs w:val="18"/>
    </w:rPr>
  </w:style>
  <w:style w:type="paragraph" w:styleId="22">
    <w:name w:val="List Paragraph"/>
    <w:basedOn w:val="1"/>
    <w:qFormat/>
    <w:uiPriority w:val="99"/>
    <w:pPr>
      <w:ind w:firstLine="420"/>
    </w:pPr>
  </w:style>
  <w:style w:type="paragraph" w:customStyle="1" w:styleId="23">
    <w:name w:val="样题标题"/>
    <w:basedOn w:val="1"/>
    <w:link w:val="24"/>
    <w:qFormat/>
    <w:uiPriority w:val="0"/>
    <w:pPr>
      <w:spacing w:line="560" w:lineRule="exact"/>
      <w:ind w:firstLine="0" w:firstLineChars="0"/>
      <w:jc w:val="left"/>
    </w:pPr>
    <w:rPr>
      <w:rFonts w:ascii="黑体" w:hAnsi="黑体" w:eastAsia="黑体" w:cs="黑体"/>
      <w:b/>
      <w:szCs w:val="28"/>
    </w:rPr>
  </w:style>
  <w:style w:type="character" w:customStyle="1" w:styleId="24">
    <w:name w:val="样题标题 字符"/>
    <w:basedOn w:val="11"/>
    <w:link w:val="23"/>
    <w:qFormat/>
    <w:uiPriority w:val="0"/>
    <w:rPr>
      <w:rFonts w:ascii="黑体" w:hAnsi="黑体" w:eastAsia="黑体" w:cs="黑体"/>
      <w:b/>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42</Pages>
  <Words>19504</Words>
  <Characters>20710</Characters>
  <Lines>154</Lines>
  <Paragraphs>43</Paragraphs>
  <TotalTime>79</TotalTime>
  <ScaleCrop>false</ScaleCrop>
  <LinksUpToDate>false</LinksUpToDate>
  <CharactersWithSpaces>20764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2021-09-27T18:04:00Z</dcterms:created>
  <dcterms:modified xsi:type="dcterms:W3CDTF">2021-12-08T08:37:38Z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1430AFF4F55043D2AEC2B95EB5FB7583</vt:lpwstr>
  </property>
</Properties>
</file>