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5" w:rsidRDefault="006242FC">
      <w:pPr>
        <w:pStyle w:val="1"/>
        <w:ind w:firstLineChars="200" w:firstLine="72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各课程承担单位查看</w:t>
      </w:r>
    </w:p>
    <w:p w:rsidR="00101655" w:rsidRDefault="006242FC">
      <w:pPr>
        <w:pStyle w:val="1"/>
        <w:ind w:firstLineChars="200" w:firstLine="72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-202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学年两个学期承担课程信息步骤</w:t>
      </w:r>
    </w:p>
    <w:p w:rsidR="00101655" w:rsidRDefault="006242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以</w:t>
      </w:r>
      <w:r w:rsidR="003F2385">
        <w:rPr>
          <w:rFonts w:hint="eastAsia"/>
          <w:sz w:val="28"/>
          <w:szCs w:val="28"/>
        </w:rPr>
        <w:t>办公室主任</w:t>
      </w:r>
      <w:r w:rsidR="003F2385">
        <w:rPr>
          <w:rFonts w:hint="eastAsia"/>
          <w:sz w:val="28"/>
          <w:szCs w:val="28"/>
        </w:rPr>
        <w:t>账号登录系统，选择开课计划子系统</w:t>
      </w:r>
      <w:r>
        <w:rPr>
          <w:rFonts w:hint="eastAsia"/>
          <w:sz w:val="28"/>
          <w:szCs w:val="28"/>
        </w:rPr>
        <w:t>；</w:t>
      </w:r>
    </w:p>
    <w:p w:rsidR="00101655" w:rsidRDefault="003F238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58C148" wp14:editId="48FBCC9C">
            <wp:extent cx="5274310" cy="168211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55" w:rsidRDefault="00101655"/>
    <w:p w:rsidR="00101655" w:rsidRDefault="006242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F2385" w:rsidRPr="003F2385">
        <w:rPr>
          <w:rFonts w:hint="eastAsia"/>
          <w:sz w:val="28"/>
          <w:szCs w:val="28"/>
        </w:rPr>
        <w:t xml:space="preserve"> </w:t>
      </w:r>
      <w:r w:rsidR="003F2385">
        <w:rPr>
          <w:rFonts w:hint="eastAsia"/>
          <w:sz w:val="28"/>
          <w:szCs w:val="28"/>
        </w:rPr>
        <w:t>进入开课计划子系统，选择查看学期开课计划下拉菜单中的查看学期开课计划</w:t>
      </w:r>
      <w:r w:rsidR="002765F2">
        <w:rPr>
          <w:rFonts w:hint="eastAsia"/>
          <w:sz w:val="28"/>
          <w:szCs w:val="28"/>
        </w:rPr>
        <w:t>。</w:t>
      </w:r>
    </w:p>
    <w:p w:rsidR="00101655" w:rsidRDefault="003F238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B03A30" wp14:editId="7FB50FDC">
            <wp:extent cx="5274310" cy="26441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55" w:rsidRDefault="00101655">
      <w:pPr>
        <w:jc w:val="left"/>
        <w:rPr>
          <w:sz w:val="28"/>
          <w:szCs w:val="28"/>
        </w:rPr>
      </w:pPr>
    </w:p>
    <w:p w:rsidR="00101655" w:rsidRDefault="006242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A96FC7" w:rsidRPr="00A96FC7">
        <w:rPr>
          <w:rFonts w:hint="eastAsia"/>
          <w:sz w:val="28"/>
          <w:szCs w:val="28"/>
        </w:rPr>
        <w:t xml:space="preserve"> </w:t>
      </w:r>
      <w:r w:rsidR="00A96FC7">
        <w:rPr>
          <w:rFonts w:hint="eastAsia"/>
          <w:sz w:val="28"/>
          <w:szCs w:val="28"/>
        </w:rPr>
        <w:t>依次选择学年学期、院系、专业，勾选理论课程，勾选分</w:t>
      </w:r>
      <w:r w:rsidR="00A96FC7">
        <w:rPr>
          <w:rFonts w:hint="eastAsia"/>
          <w:sz w:val="28"/>
          <w:szCs w:val="28"/>
        </w:rPr>
        <w:t>承担单位</w:t>
      </w:r>
      <w:r w:rsidR="00A96FC7">
        <w:rPr>
          <w:rFonts w:hint="eastAsia"/>
          <w:sz w:val="28"/>
          <w:szCs w:val="28"/>
        </w:rPr>
        <w:t>，其余选项均不用勾选，检索即可出现该专业相应学期的</w:t>
      </w:r>
      <w:r w:rsidR="00A96FC7">
        <w:rPr>
          <w:rFonts w:hint="eastAsia"/>
          <w:sz w:val="28"/>
          <w:szCs w:val="28"/>
        </w:rPr>
        <w:t>201</w:t>
      </w:r>
      <w:r w:rsidR="00A96FC7">
        <w:rPr>
          <w:sz w:val="28"/>
          <w:szCs w:val="28"/>
        </w:rPr>
        <w:t>8</w:t>
      </w:r>
      <w:r w:rsidR="00A96FC7">
        <w:rPr>
          <w:rFonts w:hint="eastAsia"/>
          <w:sz w:val="28"/>
          <w:szCs w:val="28"/>
        </w:rPr>
        <w:t>级、</w:t>
      </w:r>
      <w:r w:rsidR="00A96FC7">
        <w:rPr>
          <w:rFonts w:hint="eastAsia"/>
          <w:sz w:val="28"/>
          <w:szCs w:val="28"/>
        </w:rPr>
        <w:t>201</w:t>
      </w:r>
      <w:r w:rsidR="00A96FC7">
        <w:rPr>
          <w:sz w:val="28"/>
          <w:szCs w:val="28"/>
        </w:rPr>
        <w:t>9</w:t>
      </w:r>
      <w:r w:rsidR="00A96FC7">
        <w:rPr>
          <w:rFonts w:hint="eastAsia"/>
          <w:sz w:val="28"/>
          <w:szCs w:val="28"/>
        </w:rPr>
        <w:t>级、</w:t>
      </w:r>
      <w:r w:rsidR="00A96FC7">
        <w:rPr>
          <w:rFonts w:hint="eastAsia"/>
          <w:sz w:val="28"/>
          <w:szCs w:val="28"/>
        </w:rPr>
        <w:t>20</w:t>
      </w:r>
      <w:r w:rsidR="00A96FC7">
        <w:rPr>
          <w:sz w:val="28"/>
          <w:szCs w:val="28"/>
        </w:rPr>
        <w:t>20</w:t>
      </w:r>
      <w:r w:rsidR="00A96FC7">
        <w:rPr>
          <w:rFonts w:hint="eastAsia"/>
          <w:sz w:val="28"/>
          <w:szCs w:val="28"/>
        </w:rPr>
        <w:t>级相应专业开设的所有课程（理论）。</w:t>
      </w:r>
    </w:p>
    <w:p w:rsidR="00101655" w:rsidRDefault="00E237C0">
      <w:r>
        <w:rPr>
          <w:noProof/>
        </w:rPr>
        <w:lastRenderedPageBreak/>
        <w:drawing>
          <wp:inline distT="0" distB="0" distL="0" distR="0" wp14:anchorId="4EF37A62" wp14:editId="34F5E52D">
            <wp:extent cx="5274310" cy="27603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C0" w:rsidRDefault="00E237C0" w:rsidP="00E237C0"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依次选择学年学期、院系、专业，勾选实践环节，勾选分承担单位，其余选项均不用勾选，检索即可出现该专业相应学期的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级相应专业开设的所有课程（实践）。</w:t>
      </w:r>
    </w:p>
    <w:p w:rsidR="00E237C0" w:rsidRPr="00E237C0" w:rsidRDefault="00E237C0">
      <w:pPr>
        <w:rPr>
          <w:rFonts w:hint="eastAsia"/>
        </w:rPr>
      </w:pPr>
      <w:r>
        <w:rPr>
          <w:noProof/>
        </w:rPr>
        <w:drawing>
          <wp:inline distT="0" distB="0" distL="0" distR="0" wp14:anchorId="49219F04" wp14:editId="202264B0">
            <wp:extent cx="5274310" cy="25146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55" w:rsidRDefault="006242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以办公室主任账号登录，选择教材管理子系统；</w:t>
      </w:r>
    </w:p>
    <w:p w:rsidR="00E237C0" w:rsidRDefault="00E237C0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3053D78C" wp14:editId="4D137ECC">
            <wp:extent cx="5274310" cy="174561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55" w:rsidRDefault="00101655"/>
    <w:p w:rsidR="00101655" w:rsidRDefault="006242FC">
      <w:r>
        <w:rPr>
          <w:rFonts w:hint="eastAsia"/>
          <w:sz w:val="28"/>
          <w:szCs w:val="28"/>
        </w:rPr>
        <w:lastRenderedPageBreak/>
        <w:t>5.</w:t>
      </w:r>
      <w:r>
        <w:rPr>
          <w:rFonts w:hint="eastAsia"/>
          <w:sz w:val="28"/>
          <w:szCs w:val="28"/>
        </w:rPr>
        <w:t>进入教学管理子系统，确定学年学期后，选择收订</w:t>
      </w:r>
      <w:r w:rsidR="00E237C0">
        <w:rPr>
          <w:rFonts w:hint="eastAsia"/>
          <w:sz w:val="28"/>
          <w:szCs w:val="28"/>
        </w:rPr>
        <w:t>，教材收订情况</w:t>
      </w:r>
      <w:r>
        <w:rPr>
          <w:rFonts w:hint="eastAsia"/>
          <w:sz w:val="28"/>
          <w:szCs w:val="28"/>
        </w:rPr>
        <w:t>下拉菜单中的查看课程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环节—教材子菜单。</w:t>
      </w:r>
    </w:p>
    <w:p w:rsidR="00101655" w:rsidRDefault="00E237C0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 wp14:anchorId="3ED03E7D" wp14:editId="0D4626C4">
            <wp:extent cx="5274310" cy="27470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55" w:rsidRDefault="006242FC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6.进入</w:t>
      </w:r>
      <w:r>
        <w:rPr>
          <w:rFonts w:hint="eastAsia"/>
          <w:sz w:val="28"/>
          <w:szCs w:val="28"/>
        </w:rPr>
        <w:t>查看课程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环节—教材子菜单，直接检索即可出现相应学期本院部承担课程所使用的的教材信息。</w:t>
      </w:r>
    </w:p>
    <w:p w:rsidR="00101655" w:rsidRDefault="00E237C0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 wp14:anchorId="175975F3" wp14:editId="79ED5BD6">
            <wp:extent cx="5274310" cy="24130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655" w:rsidRDefault="006242FC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注意：依次选择20</w:t>
      </w:r>
      <w:r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-202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学年第一学期、20</w:t>
      </w:r>
      <w:r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-202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学年第二学期、本学院承担课程及教材信息。</w:t>
      </w:r>
    </w:p>
    <w:p w:rsidR="00101655" w:rsidRDefault="00101655"/>
    <w:sectPr w:rsidR="00101655">
      <w:pgSz w:w="11906" w:h="16838"/>
      <w:pgMar w:top="93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3F" w:rsidRDefault="00E8083F" w:rsidP="003F2385">
      <w:r>
        <w:separator/>
      </w:r>
    </w:p>
  </w:endnote>
  <w:endnote w:type="continuationSeparator" w:id="0">
    <w:p w:rsidR="00E8083F" w:rsidRDefault="00E8083F" w:rsidP="003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3F" w:rsidRDefault="00E8083F" w:rsidP="003F2385">
      <w:r>
        <w:separator/>
      </w:r>
    </w:p>
  </w:footnote>
  <w:footnote w:type="continuationSeparator" w:id="0">
    <w:p w:rsidR="00E8083F" w:rsidRDefault="00E8083F" w:rsidP="003F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55"/>
    <w:rsid w:val="00101655"/>
    <w:rsid w:val="002765F2"/>
    <w:rsid w:val="003F2385"/>
    <w:rsid w:val="006242FC"/>
    <w:rsid w:val="00A96FC7"/>
    <w:rsid w:val="00E237C0"/>
    <w:rsid w:val="00E8083F"/>
    <w:rsid w:val="02175BBD"/>
    <w:rsid w:val="0C884885"/>
    <w:rsid w:val="0D6D0884"/>
    <w:rsid w:val="0E3D751A"/>
    <w:rsid w:val="0F602C49"/>
    <w:rsid w:val="10011D75"/>
    <w:rsid w:val="17A46A55"/>
    <w:rsid w:val="19FE0706"/>
    <w:rsid w:val="29991B5A"/>
    <w:rsid w:val="394E75CD"/>
    <w:rsid w:val="40615263"/>
    <w:rsid w:val="46315626"/>
    <w:rsid w:val="46901A4E"/>
    <w:rsid w:val="479C11A6"/>
    <w:rsid w:val="50466981"/>
    <w:rsid w:val="5F653509"/>
    <w:rsid w:val="65EA7AED"/>
    <w:rsid w:val="68E82AC8"/>
    <w:rsid w:val="6AA266A7"/>
    <w:rsid w:val="6C1A2A7A"/>
    <w:rsid w:val="73831CA2"/>
    <w:rsid w:val="7A4D3BB1"/>
    <w:rsid w:val="7D807B49"/>
    <w:rsid w:val="7DA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BF138"/>
  <w15:docId w15:val="{2ADB55F9-5231-490A-8AC7-D178047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385"/>
    <w:rPr>
      <w:sz w:val="18"/>
      <w:szCs w:val="18"/>
    </w:rPr>
  </w:style>
  <w:style w:type="character" w:customStyle="1" w:styleId="a4">
    <w:name w:val="批注框文本 字符"/>
    <w:basedOn w:val="a0"/>
    <w:link w:val="a3"/>
    <w:rsid w:val="003F2385"/>
    <w:rPr>
      <w:kern w:val="2"/>
      <w:sz w:val="18"/>
      <w:szCs w:val="18"/>
    </w:rPr>
  </w:style>
  <w:style w:type="paragraph" w:styleId="a5">
    <w:name w:val="header"/>
    <w:basedOn w:val="a"/>
    <w:link w:val="a6"/>
    <w:rsid w:val="003F2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F2385"/>
    <w:rPr>
      <w:kern w:val="2"/>
      <w:sz w:val="18"/>
      <w:szCs w:val="18"/>
    </w:rPr>
  </w:style>
  <w:style w:type="paragraph" w:styleId="a7">
    <w:name w:val="footer"/>
    <w:basedOn w:val="a"/>
    <w:link w:val="a8"/>
    <w:rsid w:val="003F2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F23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cp:lastPrinted>2021-09-13T02:56:00Z</cp:lastPrinted>
  <dcterms:created xsi:type="dcterms:W3CDTF">2014-10-29T12:08:00Z</dcterms:created>
  <dcterms:modified xsi:type="dcterms:W3CDTF">2021-09-13T06:53:00Z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