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0" w:wrap="auto" w:vAnchor="margin" w:hAnchor="text" w:yAlign="inline"/>
      </w:pPr>
    </w:p>
    <w:p>
      <w:pPr>
        <w:framePr w:w="0" w:wrap="auto" w:vAnchor="margin" w:hAnchor="text" w:yAlign="inline"/>
      </w:pPr>
    </w:p>
    <w:p>
      <w:pPr>
        <w:framePr w:w="0" w:wrap="auto" w:vAnchor="margin" w:hAnchor="text" w:yAlign="inline"/>
        <w:spacing w:line="360" w:lineRule="auto"/>
        <w:jc w:val="center"/>
        <w:rPr>
          <w:rFonts w:ascii="黑体" w:hAnsi="黑体" w:eastAsia="黑体" w:cs="黑体"/>
          <w:b/>
          <w:bCs/>
          <w:sz w:val="44"/>
          <w:szCs w:val="44"/>
        </w:rPr>
      </w:pPr>
      <w:r>
        <w:rPr>
          <w:rFonts w:ascii="黑体" w:hAnsi="黑体" w:eastAsia="黑体" w:cs="黑体"/>
          <w:b/>
          <w:bCs/>
          <w:sz w:val="44"/>
          <w:szCs w:val="44"/>
          <w:lang w:val="en-US"/>
        </w:rPr>
        <w:t>2017</w:t>
      </w:r>
      <w:r>
        <w:rPr>
          <w:rFonts w:ascii="黑体" w:hAnsi="黑体" w:eastAsia="黑体" w:cs="黑体"/>
          <w:b/>
          <w:bCs/>
          <w:sz w:val="44"/>
          <w:szCs w:val="44"/>
          <w:lang w:val="zh-TW" w:eastAsia="zh-TW"/>
        </w:rPr>
        <w:t>年全国职业院校技能大赛</w:t>
      </w:r>
    </w:p>
    <w:p>
      <w:pPr>
        <w:framePr w:w="0" w:wrap="auto" w:vAnchor="margin" w:hAnchor="text" w:yAlign="inline"/>
        <w:spacing w:line="360" w:lineRule="auto"/>
        <w:jc w:val="center"/>
        <w:rPr>
          <w:rFonts w:ascii="黑体" w:hAnsi="黑体" w:eastAsia="黑体" w:cs="黑体"/>
          <w:b/>
          <w:bCs/>
          <w:sz w:val="44"/>
          <w:szCs w:val="44"/>
          <w:lang w:val="zh-TW" w:eastAsia="zh-TW"/>
        </w:rPr>
      </w:pPr>
      <w:r>
        <w:rPr>
          <w:rFonts w:ascii="黑体" w:hAnsi="黑体" w:eastAsia="黑体" w:cs="黑体"/>
          <w:b/>
          <w:bCs/>
          <w:sz w:val="44"/>
          <w:szCs w:val="44"/>
          <w:lang w:val="zh-TW" w:eastAsia="zh-TW"/>
        </w:rPr>
        <w:t>竞赛项目方案申报书</w:t>
      </w:r>
    </w:p>
    <w:p>
      <w:pPr>
        <w:framePr w:w="0" w:wrap="auto" w:vAnchor="margin" w:hAnchor="text" w:yAlign="inline"/>
      </w:pPr>
    </w:p>
    <w:p>
      <w:pPr>
        <w:framePr w:w="0" w:wrap="auto" w:vAnchor="margin" w:hAnchor="text" w:yAlign="inline"/>
        <w:spacing w:line="360" w:lineRule="auto"/>
        <w:ind w:firstLine="600"/>
        <w:rPr>
          <w:rFonts w:ascii="微软雅黑" w:hAnsi="微软雅黑" w:eastAsia="微软雅黑" w:cs="微软雅黑"/>
          <w:sz w:val="30"/>
          <w:szCs w:val="30"/>
          <w:u w:val="single"/>
        </w:rPr>
      </w:pPr>
      <w:r>
        <w:rPr>
          <w:rFonts w:ascii="微软雅黑" w:hAnsi="微软雅黑" w:eastAsia="微软雅黑" w:cs="微软雅黑"/>
          <w:sz w:val="30"/>
          <w:szCs w:val="30"/>
          <w:lang w:val="zh-TW" w:eastAsia="zh-TW"/>
        </w:rPr>
        <w:t>赛项名称：</w:t>
      </w:r>
      <w:r>
        <w:rPr>
          <w:rFonts w:ascii="微软雅黑" w:hAnsi="微软雅黑" w:eastAsia="微软雅黑" w:cs="微软雅黑"/>
          <w:sz w:val="30"/>
          <w:szCs w:val="30"/>
          <w:u w:val="single"/>
          <w:lang w:val="en-US"/>
        </w:rPr>
        <w:t xml:space="preserve">   </w:t>
      </w:r>
      <w:r>
        <w:rPr>
          <w:rFonts w:ascii="微软雅黑" w:hAnsi="微软雅黑" w:eastAsia="微软雅黑" w:cs="微软雅黑"/>
          <w:sz w:val="30"/>
          <w:szCs w:val="30"/>
          <w:u w:val="single"/>
          <w:lang w:val="zh-TW" w:eastAsia="zh-TW"/>
        </w:rPr>
        <w:t>光伏电子工程的设计与实施</w:t>
      </w:r>
      <w:r>
        <w:rPr>
          <w:rFonts w:ascii="微软雅黑" w:hAnsi="微软雅黑" w:eastAsia="微软雅黑" w:cs="微软雅黑"/>
          <w:sz w:val="30"/>
          <w:szCs w:val="30"/>
          <w:u w:val="single"/>
          <w:lang w:val="en-US"/>
        </w:rPr>
        <w:t xml:space="preserve">              </w:t>
      </w:r>
    </w:p>
    <w:p>
      <w:pPr>
        <w:framePr w:w="0" w:wrap="auto" w:vAnchor="margin" w:hAnchor="text" w:yAlign="inline"/>
        <w:spacing w:line="360" w:lineRule="auto"/>
        <w:ind w:firstLine="600"/>
        <w:rPr>
          <w:rFonts w:ascii="微软雅黑" w:hAnsi="微软雅黑" w:eastAsia="微软雅黑" w:cs="微软雅黑"/>
          <w:sz w:val="44"/>
          <w:szCs w:val="44"/>
        </w:rPr>
      </w:pPr>
      <w:r>
        <w:rPr>
          <w:rFonts w:ascii="微软雅黑" w:hAnsi="微软雅黑" w:eastAsia="微软雅黑" w:cs="微软雅黑"/>
          <w:sz w:val="30"/>
          <w:szCs w:val="30"/>
          <w:lang w:val="zh-TW" w:eastAsia="zh-TW"/>
        </w:rPr>
        <w:t>赛项组别：</w:t>
      </w:r>
      <w:r>
        <w:rPr>
          <w:rFonts w:ascii="微软雅黑" w:hAnsi="微软雅黑" w:eastAsia="微软雅黑" w:cs="微软雅黑"/>
          <w:sz w:val="30"/>
          <w:szCs w:val="30"/>
          <w:lang w:val="en-US"/>
        </w:rPr>
        <w:t xml:space="preserve">      </w:t>
      </w:r>
      <w:r>
        <w:rPr>
          <w:rFonts w:ascii="微软雅黑" w:hAnsi="微软雅黑" w:eastAsia="微软雅黑" w:cs="微软雅黑"/>
          <w:sz w:val="30"/>
          <w:szCs w:val="30"/>
          <w:lang w:val="zh-TW" w:eastAsia="zh-TW"/>
        </w:rPr>
        <w:t>中职组</w:t>
      </w:r>
      <w:r>
        <w:rPr>
          <w:rFonts w:ascii="微软雅黑" w:hAnsi="微软雅黑" w:eastAsia="微软雅黑" w:cs="微软雅黑"/>
          <w:sz w:val="44"/>
          <w:szCs w:val="44"/>
          <w:lang w:val="en-US"/>
        </w:rPr>
        <w:t xml:space="preserve">□ </w:t>
      </w:r>
      <w:r>
        <w:rPr>
          <w:rFonts w:ascii="微软雅黑" w:hAnsi="微软雅黑" w:eastAsia="微软雅黑" w:cs="微软雅黑"/>
          <w:sz w:val="30"/>
          <w:szCs w:val="30"/>
          <w:lang w:val="zh-TW" w:eastAsia="zh-TW"/>
        </w:rPr>
        <w:t>高职组</w:t>
      </w:r>
      <w:r>
        <w:rPr>
          <w:rFonts w:ascii="微软雅黑" w:hAnsi="微软雅黑" w:eastAsia="微软雅黑" w:cs="微软雅黑"/>
          <w:sz w:val="44"/>
          <w:szCs w:val="44"/>
          <w:shd w:val="clear" w:color="auto" w:fill="FFFFFF"/>
          <w:lang w:val="en-US"/>
        </w:rPr>
        <w:t>■</w:t>
      </w:r>
    </w:p>
    <w:p>
      <w:pPr>
        <w:framePr w:w="0" w:wrap="auto" w:vAnchor="margin" w:hAnchor="text" w:yAlign="inline"/>
        <w:spacing w:line="360" w:lineRule="auto"/>
        <w:rPr>
          <w:rFonts w:ascii="微软雅黑" w:hAnsi="微软雅黑" w:eastAsia="微软雅黑" w:cs="微软雅黑"/>
          <w:sz w:val="30"/>
          <w:szCs w:val="30"/>
          <w:u w:val="single"/>
          <w:lang w:val="en-US"/>
        </w:rPr>
      </w:pPr>
      <w:r>
        <w:rPr>
          <w:rFonts w:hint="eastAsia" w:ascii="微软雅黑" w:hAnsi="微软雅黑" w:eastAsia="微软雅黑" w:cs="微软雅黑"/>
          <w:sz w:val="30"/>
          <w:szCs w:val="30"/>
          <w:lang w:val="en-US" w:eastAsia="zh-CN"/>
        </w:rPr>
        <w:t xml:space="preserve">      </w:t>
      </w:r>
      <w:r>
        <w:rPr>
          <w:rFonts w:ascii="微软雅黑" w:hAnsi="微软雅黑" w:eastAsia="微软雅黑" w:cs="微软雅黑"/>
          <w:sz w:val="30"/>
          <w:szCs w:val="30"/>
          <w:lang w:val="zh-TW" w:eastAsia="zh-TW"/>
        </w:rPr>
        <w:t>专业大类：</w:t>
      </w:r>
      <w:r>
        <w:rPr>
          <w:rFonts w:ascii="微软雅黑" w:hAnsi="微软雅黑" w:eastAsia="微软雅黑" w:cs="微软雅黑"/>
          <w:sz w:val="30"/>
          <w:szCs w:val="30"/>
          <w:u w:val="single"/>
          <w:lang w:val="en-US"/>
        </w:rPr>
        <w:t xml:space="preserve">      </w:t>
      </w:r>
      <w:r>
        <w:rPr>
          <w:rFonts w:ascii="微软雅黑" w:hAnsi="微软雅黑" w:eastAsia="微软雅黑" w:cs="微软雅黑"/>
          <w:sz w:val="30"/>
          <w:szCs w:val="30"/>
          <w:u w:val="single"/>
          <w:lang w:val="zh-TW" w:eastAsia="zh-TW"/>
        </w:rPr>
        <w:t>电子信息类（</w:t>
      </w:r>
      <w:r>
        <w:rPr>
          <w:rFonts w:ascii="微软雅黑" w:hAnsi="微软雅黑" w:eastAsia="微软雅黑" w:cs="微软雅黑"/>
          <w:sz w:val="30"/>
          <w:szCs w:val="30"/>
          <w:u w:val="single"/>
          <w:lang w:val="en-US"/>
        </w:rPr>
        <w:t>6101</w:t>
      </w:r>
      <w:r>
        <w:rPr>
          <w:rFonts w:ascii="微软雅黑" w:hAnsi="微软雅黑" w:eastAsia="微软雅黑" w:cs="微软雅黑"/>
          <w:sz w:val="30"/>
          <w:szCs w:val="30"/>
          <w:u w:val="single"/>
          <w:lang w:val="zh-TW" w:eastAsia="zh-TW"/>
        </w:rPr>
        <w:t>）</w:t>
      </w:r>
      <w:r>
        <w:rPr>
          <w:rFonts w:ascii="微软雅黑" w:hAnsi="微软雅黑" w:eastAsia="微软雅黑" w:cs="微软雅黑"/>
          <w:sz w:val="30"/>
          <w:szCs w:val="30"/>
          <w:u w:val="single"/>
          <w:lang w:val="en-US"/>
        </w:rPr>
        <w:t xml:space="preserve">                    </w:t>
      </w:r>
    </w:p>
    <w:p>
      <w:pPr>
        <w:framePr w:w="0" w:wrap="auto" w:vAnchor="margin" w:hAnchor="text" w:yAlign="inline"/>
        <w:spacing w:line="360" w:lineRule="auto"/>
        <w:rPr>
          <w:rFonts w:ascii="微软雅黑" w:hAnsi="微软雅黑" w:eastAsia="微软雅黑" w:cs="微软雅黑"/>
          <w:sz w:val="30"/>
          <w:szCs w:val="30"/>
          <w:u w:val="single"/>
        </w:rPr>
      </w:pPr>
      <w:r>
        <w:rPr>
          <w:rFonts w:hint="eastAsia" w:ascii="微软雅黑" w:hAnsi="微软雅黑" w:eastAsia="微软雅黑" w:cs="微软雅黑"/>
          <w:sz w:val="30"/>
          <w:szCs w:val="30"/>
          <w:lang w:val="en-US" w:eastAsia="zh-CN"/>
        </w:rPr>
        <w:t xml:space="preserve">      </w:t>
      </w:r>
      <w:r>
        <w:rPr>
          <w:rFonts w:ascii="微软雅黑" w:hAnsi="微软雅黑" w:eastAsia="微软雅黑" w:cs="微软雅黑"/>
          <w:sz w:val="30"/>
          <w:szCs w:val="30"/>
          <w:lang w:val="zh-TW" w:eastAsia="zh-TW"/>
        </w:rPr>
        <w:t>方案设计专家组组长：</w:t>
      </w:r>
      <w:r>
        <w:rPr>
          <w:rFonts w:ascii="微软雅黑" w:hAnsi="微软雅黑" w:eastAsia="微软雅黑" w:cs="微软雅黑"/>
          <w:sz w:val="30"/>
          <w:szCs w:val="30"/>
          <w:u w:val="single"/>
          <w:lang w:val="en-US"/>
        </w:rPr>
        <w:t xml:space="preserve">      </w:t>
      </w:r>
      <w:r>
        <w:rPr>
          <w:rFonts w:ascii="微软雅黑" w:hAnsi="微软雅黑" w:eastAsia="微软雅黑" w:cs="微软雅黑"/>
          <w:sz w:val="30"/>
          <w:szCs w:val="30"/>
          <w:u w:val="single"/>
          <w:lang w:val="zh-TW" w:eastAsia="zh-TW"/>
        </w:rPr>
        <w:t>孙学耕</w:t>
      </w:r>
      <w:r>
        <w:rPr>
          <w:rFonts w:ascii="微软雅黑" w:hAnsi="微软雅黑" w:eastAsia="微软雅黑" w:cs="微软雅黑"/>
          <w:sz w:val="30"/>
          <w:szCs w:val="30"/>
          <w:u w:val="single"/>
          <w:lang w:val="en-US"/>
        </w:rPr>
        <w:t xml:space="preserve">                         </w:t>
      </w:r>
    </w:p>
    <w:p>
      <w:pPr>
        <w:framePr w:w="0" w:wrap="auto" w:vAnchor="margin" w:hAnchor="text" w:yAlign="inline"/>
        <w:spacing w:line="360" w:lineRule="auto"/>
        <w:rPr>
          <w:rFonts w:ascii="微软雅黑" w:hAnsi="微软雅黑" w:eastAsia="微软雅黑" w:cs="微软雅黑"/>
          <w:sz w:val="30"/>
          <w:szCs w:val="30"/>
          <w:u w:val="single"/>
        </w:rPr>
      </w:pPr>
      <w:r>
        <w:rPr>
          <w:rFonts w:hint="eastAsia" w:ascii="微软雅黑" w:hAnsi="微软雅黑" w:eastAsia="微软雅黑" w:cs="微软雅黑"/>
          <w:sz w:val="30"/>
          <w:szCs w:val="30"/>
          <w:lang w:val="en-US" w:eastAsia="zh-CN"/>
        </w:rPr>
        <w:t xml:space="preserve">      </w:t>
      </w:r>
      <w:r>
        <w:rPr>
          <w:rFonts w:ascii="微软雅黑" w:hAnsi="微软雅黑" w:eastAsia="微软雅黑" w:cs="微软雅黑"/>
          <w:sz w:val="30"/>
          <w:szCs w:val="30"/>
          <w:lang w:val="zh-TW" w:eastAsia="zh-TW"/>
        </w:rPr>
        <w:t>专家组组长手机：</w:t>
      </w:r>
      <w:r>
        <w:rPr>
          <w:rFonts w:ascii="微软雅黑" w:hAnsi="微软雅黑" w:eastAsia="微软雅黑" w:cs="微软雅黑"/>
          <w:sz w:val="30"/>
          <w:szCs w:val="30"/>
          <w:lang w:val="en-US"/>
        </w:rPr>
        <w:t xml:space="preserve">    </w:t>
      </w:r>
      <w:r>
        <w:rPr>
          <w:rFonts w:ascii="微软雅黑" w:hAnsi="微软雅黑" w:eastAsia="微软雅黑" w:cs="微软雅黑"/>
          <w:sz w:val="30"/>
          <w:szCs w:val="30"/>
          <w:u w:val="single"/>
          <w:lang w:val="en-US"/>
        </w:rPr>
        <w:t xml:space="preserve">     13809556246                  </w:t>
      </w:r>
    </w:p>
    <w:p>
      <w:pPr>
        <w:framePr w:w="0" w:wrap="auto" w:vAnchor="margin" w:hAnchor="text" w:yAlign="inline"/>
        <w:spacing w:line="360" w:lineRule="auto"/>
        <w:ind w:firstLine="600"/>
        <w:rPr>
          <w:rFonts w:ascii="微软雅黑" w:hAnsi="微软雅黑" w:eastAsia="微软雅黑" w:cs="微软雅黑"/>
          <w:sz w:val="30"/>
          <w:szCs w:val="30"/>
          <w:lang w:val="zh-TW" w:eastAsia="zh-TW"/>
        </w:rPr>
      </w:pPr>
      <w:r>
        <w:rPr>
          <w:rFonts w:ascii="微软雅黑" w:hAnsi="微软雅黑" w:eastAsia="微软雅黑" w:cs="微软雅黑"/>
          <w:sz w:val="30"/>
          <w:szCs w:val="30"/>
          <w:lang w:val="zh-TW" w:eastAsia="zh-TW"/>
        </w:rPr>
        <w:t xml:space="preserve">方案申报单位（盖章）： </w:t>
      </w:r>
    </w:p>
    <w:p>
      <w:pPr>
        <w:framePr w:w="0" w:wrap="auto" w:vAnchor="margin" w:hAnchor="text" w:yAlign="inline"/>
        <w:spacing w:line="360" w:lineRule="auto"/>
        <w:ind w:firstLine="600"/>
        <w:rPr>
          <w:rFonts w:ascii="微软雅黑" w:hAnsi="微软雅黑" w:eastAsia="微软雅黑" w:cs="微软雅黑"/>
          <w:sz w:val="30"/>
          <w:szCs w:val="30"/>
          <w:lang w:val="zh-TW" w:eastAsia="zh-TW"/>
        </w:rPr>
      </w:pPr>
      <w:r>
        <w:rPr>
          <w:rFonts w:ascii="微软雅黑" w:hAnsi="微软雅黑" w:eastAsia="微软雅黑" w:cs="微软雅黑"/>
          <w:sz w:val="30"/>
          <w:szCs w:val="30"/>
          <w:u w:val="single"/>
          <w:lang w:val="zh-TW" w:eastAsia="zh-TW"/>
        </w:rPr>
        <w:t>全国高等院校计算机基础教育研究会高职高专专业委员会</w:t>
      </w:r>
    </w:p>
    <w:p>
      <w:pPr>
        <w:framePr w:w="0" w:wrap="auto" w:vAnchor="margin" w:hAnchor="text" w:yAlign="inline"/>
        <w:spacing w:line="360" w:lineRule="auto"/>
        <w:ind w:firstLine="600"/>
        <w:rPr>
          <w:rFonts w:ascii="微软雅黑" w:hAnsi="微软雅黑" w:eastAsia="微软雅黑" w:cs="微软雅黑"/>
          <w:sz w:val="30"/>
          <w:szCs w:val="30"/>
        </w:rPr>
      </w:pPr>
      <w:r>
        <w:rPr>
          <w:rFonts w:ascii="微软雅黑" w:hAnsi="微软雅黑" w:eastAsia="微软雅黑" w:cs="微软雅黑"/>
          <w:sz w:val="30"/>
          <w:szCs w:val="30"/>
          <w:lang w:val="zh-TW" w:eastAsia="zh-TW"/>
        </w:rPr>
        <w:t>方案申报负责人：</w:t>
      </w:r>
      <w:r>
        <w:rPr>
          <w:rFonts w:ascii="微软雅黑" w:hAnsi="微软雅黑" w:eastAsia="微软雅黑" w:cs="微软雅黑"/>
          <w:sz w:val="30"/>
          <w:szCs w:val="30"/>
          <w:u w:val="single"/>
          <w:lang w:val="en-US"/>
        </w:rPr>
        <w:t xml:space="preserve">  </w:t>
      </w:r>
      <w:r>
        <w:rPr>
          <w:rFonts w:ascii="微软雅黑" w:hAnsi="微软雅黑" w:eastAsia="微软雅黑" w:cs="微软雅黑"/>
          <w:sz w:val="30"/>
          <w:szCs w:val="30"/>
          <w:u w:val="single"/>
          <w:lang w:val="zh-TW" w:eastAsia="zh-TW"/>
        </w:rPr>
        <w:t>高</w:t>
      </w:r>
      <w:r>
        <w:rPr>
          <w:rFonts w:ascii="微软雅黑" w:hAnsi="微软雅黑" w:eastAsia="微软雅黑" w:cs="微软雅黑"/>
          <w:sz w:val="30"/>
          <w:szCs w:val="30"/>
          <w:u w:val="single"/>
          <w:lang w:val="en-US"/>
        </w:rPr>
        <w:t xml:space="preserve">    </w:t>
      </w:r>
      <w:r>
        <w:rPr>
          <w:rFonts w:ascii="微软雅黑" w:hAnsi="微软雅黑" w:eastAsia="微软雅黑" w:cs="微软雅黑"/>
          <w:sz w:val="30"/>
          <w:szCs w:val="30"/>
          <w:u w:val="single"/>
          <w:lang w:val="zh-TW" w:eastAsia="zh-TW"/>
        </w:rPr>
        <w:t>林</w:t>
      </w:r>
      <w:r>
        <w:rPr>
          <w:rFonts w:ascii="微软雅黑" w:hAnsi="微软雅黑" w:eastAsia="微软雅黑" w:cs="微软雅黑"/>
          <w:sz w:val="30"/>
          <w:szCs w:val="30"/>
          <w:u w:val="single"/>
          <w:lang w:val="en-US"/>
        </w:rPr>
        <w:t xml:space="preserve">                                </w:t>
      </w:r>
    </w:p>
    <w:p>
      <w:pPr>
        <w:framePr w:w="0" w:wrap="auto" w:vAnchor="margin" w:hAnchor="text" w:yAlign="inline"/>
        <w:spacing w:line="360" w:lineRule="auto"/>
        <w:ind w:firstLine="600"/>
        <w:rPr>
          <w:rFonts w:ascii="微软雅黑" w:hAnsi="微软雅黑" w:eastAsia="微软雅黑" w:cs="微软雅黑"/>
          <w:sz w:val="30"/>
          <w:szCs w:val="30"/>
        </w:rPr>
      </w:pPr>
      <w:r>
        <w:rPr>
          <w:rFonts w:ascii="微软雅黑" w:hAnsi="微软雅黑" w:eastAsia="微软雅黑" w:cs="微软雅黑"/>
          <w:sz w:val="30"/>
          <w:szCs w:val="30"/>
          <w:lang w:val="zh-TW" w:eastAsia="zh-TW"/>
        </w:rPr>
        <w:t>联系手机：</w:t>
      </w:r>
      <w:r>
        <w:rPr>
          <w:rFonts w:ascii="微软雅黑" w:hAnsi="微软雅黑" w:eastAsia="微软雅黑" w:cs="微软雅黑"/>
          <w:sz w:val="30"/>
          <w:szCs w:val="30"/>
          <w:u w:val="single" w:color="auto"/>
          <w:lang w:val="en-US"/>
        </w:rPr>
        <w:tab/>
      </w:r>
      <w:r>
        <w:rPr>
          <w:rFonts w:ascii="微软雅黑" w:hAnsi="微软雅黑" w:eastAsia="微软雅黑" w:cs="微软雅黑"/>
          <w:sz w:val="30"/>
          <w:szCs w:val="30"/>
          <w:u w:val="single"/>
          <w:lang w:val="en-US"/>
        </w:rPr>
        <w:t xml:space="preserve">13601006785                             </w:t>
      </w:r>
    </w:p>
    <w:p>
      <w:pPr>
        <w:framePr w:w="0" w:wrap="auto" w:vAnchor="margin" w:hAnchor="text" w:yAlign="inline"/>
        <w:spacing w:line="360" w:lineRule="auto"/>
        <w:ind w:firstLine="600"/>
        <w:rPr>
          <w:rFonts w:ascii="微软雅黑" w:hAnsi="微软雅黑" w:eastAsia="微软雅黑" w:cs="微软雅黑"/>
          <w:sz w:val="30"/>
          <w:szCs w:val="30"/>
          <w:u w:val="single"/>
        </w:rPr>
      </w:pPr>
      <w:r>
        <w:rPr>
          <w:rFonts w:ascii="微软雅黑" w:hAnsi="微软雅黑" w:eastAsia="微软雅黑" w:cs="微软雅黑"/>
          <w:sz w:val="30"/>
          <w:szCs w:val="30"/>
          <w:lang w:val="zh-TW" w:eastAsia="zh-TW"/>
        </w:rPr>
        <w:t>邮箱号码：</w:t>
      </w:r>
      <w:r>
        <w:rPr>
          <w:rFonts w:ascii="微软雅黑" w:hAnsi="微软雅黑" w:eastAsia="微软雅黑" w:cs="微软雅黑"/>
          <w:sz w:val="30"/>
          <w:szCs w:val="30"/>
          <w:u w:val="single" w:color="auto"/>
          <w:lang w:val="en-US"/>
        </w:rPr>
        <w:tab/>
      </w:r>
      <w:r>
        <w:rPr>
          <w:rFonts w:ascii="微软雅黑" w:hAnsi="微软雅黑" w:eastAsia="微软雅黑" w:cs="微软雅黑"/>
          <w:sz w:val="30"/>
          <w:szCs w:val="30"/>
          <w:u w:val="single"/>
          <w:lang w:val="en-US"/>
        </w:rPr>
        <w:t xml:space="preserve">gaolin@buu.edu.cn                       </w:t>
      </w:r>
    </w:p>
    <w:p>
      <w:pPr>
        <w:framePr w:w="0" w:wrap="auto" w:vAnchor="margin" w:hAnchor="text" w:yAlign="inline"/>
        <w:spacing w:line="360" w:lineRule="auto"/>
        <w:ind w:firstLine="600"/>
        <w:rPr>
          <w:rFonts w:ascii="微软雅黑" w:hAnsi="微软雅黑" w:eastAsia="微软雅黑" w:cs="微软雅黑"/>
          <w:sz w:val="30"/>
          <w:szCs w:val="30"/>
          <w:u w:val="single"/>
          <w:lang w:val="en-US"/>
        </w:rPr>
      </w:pPr>
      <w:r>
        <w:rPr>
          <w:rFonts w:ascii="微软雅黑" w:hAnsi="微软雅黑" w:eastAsia="微软雅黑" w:cs="微软雅黑"/>
          <w:sz w:val="30"/>
          <w:szCs w:val="30"/>
          <w:lang w:val="zh-TW" w:eastAsia="zh-TW"/>
        </w:rPr>
        <w:t>通讯地址：</w:t>
      </w:r>
      <w:r>
        <w:rPr>
          <w:rFonts w:ascii="微软雅黑" w:hAnsi="微软雅黑" w:eastAsia="微软雅黑" w:cs="微软雅黑"/>
          <w:sz w:val="30"/>
          <w:szCs w:val="30"/>
          <w:u w:val="single"/>
          <w:lang w:val="en-US"/>
        </w:rPr>
        <w:t xml:space="preserve">    </w:t>
      </w:r>
      <w:r>
        <w:rPr>
          <w:rFonts w:ascii="微软雅黑" w:hAnsi="微软雅黑" w:eastAsia="微软雅黑" w:cs="微软雅黑"/>
          <w:sz w:val="30"/>
          <w:szCs w:val="30"/>
          <w:u w:val="single"/>
          <w:lang w:val="zh-TW" w:eastAsia="zh-TW"/>
        </w:rPr>
        <w:t>北京北四环东路</w:t>
      </w:r>
      <w:r>
        <w:rPr>
          <w:rFonts w:ascii="微软雅黑" w:hAnsi="微软雅黑" w:eastAsia="微软雅黑" w:cs="微软雅黑"/>
          <w:sz w:val="30"/>
          <w:szCs w:val="30"/>
          <w:u w:val="single"/>
          <w:lang w:val="en-US"/>
        </w:rPr>
        <w:t>97</w:t>
      </w:r>
      <w:r>
        <w:rPr>
          <w:rFonts w:ascii="微软雅黑" w:hAnsi="微软雅黑" w:eastAsia="微软雅黑" w:cs="微软雅黑"/>
          <w:sz w:val="30"/>
          <w:szCs w:val="30"/>
          <w:u w:val="single"/>
          <w:lang w:val="zh-TW" w:eastAsia="zh-TW"/>
        </w:rPr>
        <w:t>号</w:t>
      </w:r>
      <w:r>
        <w:rPr>
          <w:rFonts w:ascii="微软雅黑" w:hAnsi="微软雅黑" w:eastAsia="微软雅黑" w:cs="微软雅黑"/>
          <w:sz w:val="30"/>
          <w:szCs w:val="30"/>
          <w:u w:val="single"/>
          <w:lang w:val="en-US"/>
        </w:rPr>
        <w:t xml:space="preserve">  </w:t>
      </w:r>
      <w:r>
        <w:rPr>
          <w:rFonts w:ascii="微软雅黑" w:hAnsi="微软雅黑" w:eastAsia="微软雅黑" w:cs="微软雅黑"/>
          <w:sz w:val="30"/>
          <w:szCs w:val="30"/>
          <w:u w:val="single"/>
          <w:lang w:val="zh-TW" w:eastAsia="zh-TW"/>
        </w:rPr>
        <w:t>北京联合大学</w:t>
      </w:r>
      <w:r>
        <w:rPr>
          <w:rFonts w:ascii="微软雅黑" w:hAnsi="微软雅黑" w:eastAsia="微软雅黑" w:cs="微软雅黑"/>
          <w:sz w:val="30"/>
          <w:szCs w:val="30"/>
          <w:u w:val="single"/>
          <w:lang w:val="en-US"/>
        </w:rPr>
        <w:t xml:space="preserve">   </w:t>
      </w:r>
    </w:p>
    <w:p>
      <w:pPr>
        <w:framePr w:w="0" w:wrap="auto" w:vAnchor="margin" w:hAnchor="text" w:yAlign="inline"/>
        <w:spacing w:line="360" w:lineRule="auto"/>
        <w:ind w:firstLine="600"/>
        <w:rPr>
          <w:rFonts w:ascii="微软雅黑" w:hAnsi="微软雅黑" w:eastAsia="微软雅黑" w:cs="微软雅黑"/>
          <w:sz w:val="30"/>
          <w:szCs w:val="30"/>
        </w:rPr>
      </w:pPr>
      <w:r>
        <w:rPr>
          <w:rFonts w:ascii="微软雅黑" w:hAnsi="微软雅黑" w:eastAsia="微软雅黑" w:cs="微软雅黑"/>
          <w:sz w:val="30"/>
          <w:szCs w:val="30"/>
          <w:lang w:val="zh-TW" w:eastAsia="zh-TW"/>
        </w:rPr>
        <w:t>邮政编码：</w:t>
      </w:r>
      <w:r>
        <w:rPr>
          <w:rFonts w:ascii="微软雅黑" w:hAnsi="微软雅黑" w:eastAsia="微软雅黑" w:cs="微软雅黑"/>
          <w:sz w:val="30"/>
          <w:szCs w:val="30"/>
          <w:u w:val="single"/>
          <w:lang w:val="en-US"/>
        </w:rPr>
        <w:t xml:space="preserve">    100101                                     </w:t>
      </w:r>
    </w:p>
    <w:p>
      <w:pPr>
        <w:framePr w:w="0" w:wrap="auto" w:vAnchor="margin" w:hAnchor="text" w:yAlign="inline"/>
        <w:tabs>
          <w:tab w:val="left" w:pos="8121"/>
        </w:tabs>
        <w:spacing w:line="360" w:lineRule="auto"/>
        <w:ind w:firstLine="600"/>
        <w:rPr>
          <w:rFonts w:ascii="微软雅黑" w:hAnsi="微软雅黑" w:eastAsia="微软雅黑" w:cs="微软雅黑"/>
          <w:sz w:val="30"/>
          <w:szCs w:val="30"/>
          <w:u w:val="single"/>
        </w:rPr>
      </w:pPr>
      <w:r>
        <w:rPr>
          <w:rFonts w:ascii="微软雅黑" w:hAnsi="微软雅黑" w:eastAsia="微软雅黑" w:cs="微软雅黑"/>
          <w:sz w:val="30"/>
          <w:szCs w:val="30"/>
          <w:lang w:val="zh-TW" w:eastAsia="zh-TW"/>
        </w:rPr>
        <w:t>申报日期：</w:t>
      </w:r>
      <w:r>
        <w:rPr>
          <w:rFonts w:ascii="微软雅黑" w:hAnsi="微软雅黑" w:eastAsia="微软雅黑" w:cs="微软雅黑"/>
          <w:sz w:val="30"/>
          <w:szCs w:val="30"/>
          <w:u w:val="single"/>
          <w:lang w:val="en-US"/>
        </w:rPr>
        <w:t xml:space="preserve">    2016</w:t>
      </w:r>
      <w:r>
        <w:rPr>
          <w:rFonts w:ascii="微软雅黑" w:hAnsi="微软雅黑" w:eastAsia="微软雅黑" w:cs="微软雅黑"/>
          <w:sz w:val="30"/>
          <w:szCs w:val="30"/>
          <w:u w:val="single"/>
          <w:lang w:val="zh-TW" w:eastAsia="zh-TW"/>
        </w:rPr>
        <w:t>年</w:t>
      </w:r>
      <w:r>
        <w:rPr>
          <w:rFonts w:ascii="微软雅黑" w:hAnsi="微软雅黑" w:eastAsia="微软雅黑" w:cs="微软雅黑"/>
          <w:sz w:val="30"/>
          <w:szCs w:val="30"/>
          <w:u w:val="single"/>
          <w:lang w:val="en-US"/>
        </w:rPr>
        <w:t>9</w:t>
      </w:r>
      <w:r>
        <w:rPr>
          <w:rFonts w:ascii="微软雅黑" w:hAnsi="微软雅黑" w:eastAsia="微软雅黑" w:cs="微软雅黑"/>
          <w:sz w:val="30"/>
          <w:szCs w:val="30"/>
          <w:u w:val="single"/>
          <w:lang w:val="zh-TW" w:eastAsia="zh-TW"/>
        </w:rPr>
        <w:t>月</w:t>
      </w:r>
      <w:r>
        <w:rPr>
          <w:rFonts w:ascii="微软雅黑" w:hAnsi="微软雅黑" w:eastAsia="微软雅黑" w:cs="微软雅黑"/>
          <w:sz w:val="30"/>
          <w:szCs w:val="30"/>
          <w:u w:val="single"/>
          <w:lang w:val="en-US"/>
        </w:rPr>
        <w:t xml:space="preserve">                                 </w:t>
      </w:r>
    </w:p>
    <w:p>
      <w:pPr>
        <w:framePr w:w="0" w:wrap="auto" w:vAnchor="margin" w:hAnchor="text" w:yAlign="inline"/>
        <w:tabs>
          <w:tab w:val="left" w:pos="8121"/>
        </w:tabs>
        <w:spacing w:line="360" w:lineRule="auto"/>
      </w:pPr>
    </w:p>
    <w:p>
      <w:pPr>
        <w:framePr w:w="0" w:wrap="auto" w:vAnchor="margin" w:hAnchor="text" w:yAlign="inline"/>
        <w:widowControl/>
        <w:jc w:val="left"/>
      </w:pPr>
    </w:p>
    <w:p>
      <w:pPr>
        <w:framePr w:w="0" w:wrap="auto" w:vAnchor="margin" w:hAnchor="text" w:yAlign="inline"/>
        <w:jc w:val="center"/>
        <w:rPr>
          <w:rFonts w:ascii="黑体" w:hAnsi="黑体" w:eastAsia="黑体" w:cs="黑体"/>
          <w:b/>
          <w:bCs/>
          <w:sz w:val="28"/>
          <w:szCs w:val="28"/>
          <w:lang w:val="zh-TW" w:eastAsia="zh-TW"/>
        </w:rPr>
      </w:pPr>
      <w:bookmarkStart w:id="0" w:name="OLE_LINK23"/>
      <w:r>
        <w:rPr>
          <w:rFonts w:ascii="黑体" w:hAnsi="黑体" w:eastAsia="黑体" w:cs="黑体"/>
          <w:b/>
          <w:bCs/>
          <w:sz w:val="28"/>
          <w:szCs w:val="28"/>
          <w:lang w:val="en-US"/>
        </w:rPr>
        <w:t>2017</w:t>
      </w:r>
      <w:r>
        <w:rPr>
          <w:rFonts w:ascii="黑体" w:hAnsi="黑体" w:eastAsia="黑体" w:cs="黑体"/>
          <w:b/>
          <w:bCs/>
          <w:sz w:val="28"/>
          <w:szCs w:val="28"/>
          <w:lang w:val="zh-TW" w:eastAsia="zh-TW"/>
        </w:rPr>
        <w:t>年全国职业院校技能大赛</w:t>
      </w:r>
    </w:p>
    <w:p>
      <w:pPr>
        <w:framePr w:w="0" w:wrap="auto" w:vAnchor="margin" w:hAnchor="text" w:yAlign="inline"/>
        <w:jc w:val="center"/>
        <w:rPr>
          <w:rFonts w:ascii="黑体" w:hAnsi="黑体" w:eastAsia="黑体" w:cs="黑体"/>
          <w:b/>
          <w:bCs/>
          <w:lang w:val="zh-TW" w:eastAsia="zh-TW"/>
        </w:rPr>
      </w:pPr>
      <w:r>
        <w:rPr>
          <w:rFonts w:ascii="黑体" w:hAnsi="黑体" w:eastAsia="黑体" w:cs="黑体"/>
          <w:b/>
          <w:bCs/>
          <w:sz w:val="28"/>
          <w:szCs w:val="28"/>
          <w:lang w:val="zh-TW" w:eastAsia="zh-TW"/>
        </w:rPr>
        <w:t>竞赛项目方案</w:t>
      </w:r>
      <w:bookmarkEnd w:id="0"/>
    </w:p>
    <w:p>
      <w:pPr>
        <w:pStyle w:val="17"/>
        <w:framePr w:w="0" w:wrap="auto" w:vAnchor="margin" w:hAnchor="text" w:yAlign="inline"/>
        <w:jc w:val="center"/>
        <w:rPr>
          <w:rStyle w:val="15"/>
          <w:lang w:val="zh-TW" w:eastAsia="zh-TW"/>
        </w:rPr>
      </w:pPr>
      <w:r>
        <w:rPr>
          <w:rFonts w:ascii="宋体" w:hAnsi="宋体" w:eastAsia="宋体" w:cs="宋体"/>
          <w:lang w:val="zh-TW" w:eastAsia="zh-TW"/>
        </w:rPr>
        <w:t>目录</w:t>
      </w:r>
    </w:p>
    <w:p>
      <w:pPr>
        <w:pStyle w:val="8"/>
        <w:framePr w:w="0" w:wrap="auto" w:vAnchor="margin" w:hAnchor="text" w:yAlign="inline"/>
        <w:tabs>
          <w:tab w:val="right" w:leader="dot" w:pos="9610"/>
          <w:tab w:val="clear" w:pos="840"/>
          <w:tab w:val="clear" w:pos="9590"/>
        </w:tabs>
        <w:rPr>
          <w:rFonts w:hint="eastAsia" w:ascii="仿宋" w:hAnsi="仿宋" w:eastAsia="仿宋" w:cs="仿宋"/>
          <w:b w:val="0"/>
          <w:bCs w:val="0"/>
        </w:rPr>
      </w:pPr>
      <w:r>
        <w:rPr>
          <w:rFonts w:hint="eastAsia" w:ascii="仿宋" w:hAnsi="仿宋" w:eastAsia="仿宋" w:cs="仿宋"/>
          <w:lang w:val="zh-TW" w:eastAsia="zh-TW"/>
        </w:rPr>
        <w:fldChar w:fldCharType="begin"/>
      </w:r>
      <w:r>
        <w:rPr>
          <w:rFonts w:hint="eastAsia" w:ascii="仿宋" w:hAnsi="仿宋" w:eastAsia="仿宋" w:cs="仿宋"/>
          <w:lang w:val="zh-TW" w:eastAsia="zh-TW"/>
        </w:rPr>
        <w:instrText xml:space="preserve">TOC \o "1-3" \h \u </w:instrText>
      </w:r>
      <w:r>
        <w:rPr>
          <w:rFonts w:hint="eastAsia" w:ascii="仿宋" w:hAnsi="仿宋" w:eastAsia="仿宋" w:cs="仿宋"/>
          <w:lang w:val="zh-TW" w:eastAsia="zh-TW"/>
        </w:rPr>
        <w:fldChar w:fldCharType="separate"/>
      </w: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_Toc31992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一、</w:t>
      </w:r>
      <w:r>
        <w:rPr>
          <w:rFonts w:hint="eastAsia" w:ascii="仿宋" w:hAnsi="仿宋" w:eastAsia="仿宋" w:cs="仿宋"/>
          <w:b/>
          <w:bCs/>
          <w:lang w:val="zh-TW" w:eastAsia="zh-TW"/>
        </w:rPr>
        <w:t>赛项名称</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_Toc31992 </w:instrText>
      </w:r>
      <w:r>
        <w:rPr>
          <w:rFonts w:hint="eastAsia" w:ascii="仿宋" w:hAnsi="仿宋" w:eastAsia="仿宋" w:cs="仿宋"/>
          <w:b/>
          <w:bCs/>
        </w:rPr>
        <w:fldChar w:fldCharType="separate"/>
      </w:r>
      <w:r>
        <w:rPr>
          <w:rFonts w:hint="eastAsia" w:ascii="仿宋" w:hAnsi="仿宋" w:eastAsia="仿宋" w:cs="仿宋"/>
          <w:b/>
          <w:bCs/>
        </w:rPr>
        <w:t>4</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_Toc17647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CN"/>
        </w:rPr>
        <w:t>（一）赛项名称</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_Toc17647 </w:instrText>
      </w:r>
      <w:r>
        <w:rPr>
          <w:rFonts w:hint="eastAsia" w:ascii="仿宋" w:hAnsi="仿宋" w:eastAsia="仿宋" w:cs="仿宋"/>
          <w:b w:val="0"/>
          <w:bCs w:val="0"/>
        </w:rPr>
        <w:fldChar w:fldCharType="separate"/>
      </w:r>
      <w:r>
        <w:rPr>
          <w:rFonts w:hint="eastAsia" w:ascii="仿宋" w:hAnsi="仿宋" w:eastAsia="仿宋" w:cs="仿宋"/>
          <w:b w:val="0"/>
          <w:bCs w:val="0"/>
        </w:rPr>
        <w:t>4</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_Toc17766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eastAsia="zh-CN"/>
        </w:rPr>
        <w:t>（二）压题彩照</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_Toc17766 </w:instrText>
      </w:r>
      <w:r>
        <w:rPr>
          <w:rFonts w:hint="eastAsia" w:ascii="仿宋" w:hAnsi="仿宋" w:eastAsia="仿宋" w:cs="仿宋"/>
          <w:b w:val="0"/>
          <w:bCs w:val="0"/>
        </w:rPr>
        <w:fldChar w:fldCharType="separate"/>
      </w:r>
      <w:r>
        <w:rPr>
          <w:rFonts w:hint="eastAsia" w:ascii="仿宋" w:hAnsi="仿宋" w:eastAsia="仿宋" w:cs="仿宋"/>
          <w:b w:val="0"/>
          <w:bCs w:val="0"/>
        </w:rPr>
        <w:t>4</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_Toc16992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CN"/>
        </w:rPr>
        <w:t>（三）</w:t>
      </w:r>
      <w:r>
        <w:rPr>
          <w:rFonts w:hint="eastAsia" w:ascii="仿宋" w:hAnsi="仿宋" w:eastAsia="仿宋" w:cs="仿宋"/>
          <w:b w:val="0"/>
          <w:bCs w:val="0"/>
          <w:lang w:val="zh-TW" w:eastAsia="zh-TW"/>
        </w:rPr>
        <w:t>赛项归属产业类型</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_Toc16992 </w:instrText>
      </w:r>
      <w:r>
        <w:rPr>
          <w:rFonts w:hint="eastAsia" w:ascii="仿宋" w:hAnsi="仿宋" w:eastAsia="仿宋" w:cs="仿宋"/>
          <w:b w:val="0"/>
          <w:bCs w:val="0"/>
        </w:rPr>
        <w:fldChar w:fldCharType="separate"/>
      </w:r>
      <w:r>
        <w:rPr>
          <w:rFonts w:hint="eastAsia" w:ascii="仿宋" w:hAnsi="仿宋" w:eastAsia="仿宋" w:cs="仿宋"/>
          <w:b w:val="0"/>
          <w:bCs w:val="0"/>
        </w:rPr>
        <w:t>4</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_Toc31237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CN"/>
        </w:rPr>
        <w:t>（四）</w:t>
      </w:r>
      <w:r>
        <w:rPr>
          <w:rFonts w:hint="eastAsia" w:ascii="仿宋" w:hAnsi="仿宋" w:eastAsia="仿宋" w:cs="仿宋"/>
          <w:b w:val="0"/>
          <w:bCs w:val="0"/>
          <w:lang w:val="zh-TW" w:eastAsia="zh-TW"/>
        </w:rPr>
        <w:t>赛项归属专业大类</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_Toc31237 </w:instrText>
      </w:r>
      <w:r>
        <w:rPr>
          <w:rFonts w:hint="eastAsia" w:ascii="仿宋" w:hAnsi="仿宋" w:eastAsia="仿宋" w:cs="仿宋"/>
          <w:b w:val="0"/>
          <w:bCs w:val="0"/>
        </w:rPr>
        <w:fldChar w:fldCharType="separate"/>
      </w:r>
      <w:r>
        <w:rPr>
          <w:rFonts w:hint="eastAsia" w:ascii="仿宋" w:hAnsi="仿宋" w:eastAsia="仿宋" w:cs="仿宋"/>
          <w:b w:val="0"/>
          <w:bCs w:val="0"/>
        </w:rPr>
        <w:t>5</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_Toc2633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二、</w:t>
      </w:r>
      <w:r>
        <w:rPr>
          <w:rFonts w:hint="eastAsia" w:ascii="仿宋" w:hAnsi="仿宋" w:eastAsia="仿宋" w:cs="仿宋"/>
          <w:b/>
          <w:bCs/>
          <w:lang w:val="zh-TW" w:eastAsia="zh-TW"/>
        </w:rPr>
        <w:t>赛项申报专家组</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_Toc2633 </w:instrText>
      </w:r>
      <w:r>
        <w:rPr>
          <w:rFonts w:hint="eastAsia" w:ascii="仿宋" w:hAnsi="仿宋" w:eastAsia="仿宋" w:cs="仿宋"/>
          <w:b/>
          <w:bCs/>
        </w:rPr>
        <w:fldChar w:fldCharType="separate"/>
      </w:r>
      <w:r>
        <w:rPr>
          <w:rFonts w:hint="eastAsia" w:ascii="仿宋" w:hAnsi="仿宋" w:eastAsia="仿宋" w:cs="仿宋"/>
          <w:b/>
          <w:bCs/>
        </w:rPr>
        <w:t>5</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_Toc11025 </w:instrText>
      </w:r>
      <w:r>
        <w:rPr>
          <w:rFonts w:hint="eastAsia" w:ascii="仿宋" w:hAnsi="仿宋" w:eastAsia="仿宋" w:cs="仿宋"/>
          <w:b/>
          <w:bCs/>
          <w:lang w:val="zh-TW" w:eastAsia="zh-TW"/>
        </w:rPr>
        <w:fldChar w:fldCharType="separate"/>
      </w:r>
      <w:r>
        <w:rPr>
          <w:rFonts w:hint="eastAsia" w:ascii="仿宋" w:hAnsi="仿宋" w:eastAsia="仿宋" w:cs="仿宋"/>
          <w:b/>
          <w:bCs/>
          <w:lang w:val="en-US" w:eastAsia="zh-CN"/>
        </w:rPr>
        <w:t>三、</w:t>
      </w:r>
      <w:r>
        <w:rPr>
          <w:rFonts w:hint="eastAsia" w:ascii="仿宋" w:hAnsi="仿宋" w:eastAsia="仿宋" w:cs="仿宋"/>
          <w:b/>
          <w:bCs/>
          <w:lang w:val="zh-TW" w:eastAsia="zh-TW"/>
        </w:rPr>
        <w:t>赛项目的</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_Toc11025 </w:instrText>
      </w:r>
      <w:r>
        <w:rPr>
          <w:rFonts w:hint="eastAsia" w:ascii="仿宋" w:hAnsi="仿宋" w:eastAsia="仿宋" w:cs="仿宋"/>
          <w:b/>
          <w:bCs/>
        </w:rPr>
        <w:fldChar w:fldCharType="separate"/>
      </w:r>
      <w:r>
        <w:rPr>
          <w:rFonts w:hint="eastAsia" w:ascii="仿宋" w:hAnsi="仿宋" w:eastAsia="仿宋" w:cs="仿宋"/>
          <w:b/>
          <w:bCs/>
        </w:rPr>
        <w:t>6</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_Toc11887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en-US" w:eastAsia="zh-CN"/>
        </w:rPr>
        <w:t>（一）</w:t>
      </w:r>
      <w:r>
        <w:rPr>
          <w:rFonts w:hint="eastAsia" w:ascii="仿宋" w:hAnsi="仿宋" w:eastAsia="仿宋" w:cs="仿宋"/>
          <w:b w:val="0"/>
          <w:bCs w:val="0"/>
          <w:lang w:val="zh-TW" w:eastAsia="zh-TW"/>
        </w:rPr>
        <w:t>产学协同，以赛促教</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_Toc11887 </w:instrText>
      </w:r>
      <w:r>
        <w:rPr>
          <w:rFonts w:hint="eastAsia" w:ascii="仿宋" w:hAnsi="仿宋" w:eastAsia="仿宋" w:cs="仿宋"/>
          <w:b w:val="0"/>
          <w:bCs w:val="0"/>
        </w:rPr>
        <w:fldChar w:fldCharType="separate"/>
      </w:r>
      <w:r>
        <w:rPr>
          <w:rFonts w:hint="eastAsia" w:ascii="仿宋" w:hAnsi="仿宋" w:eastAsia="仿宋" w:cs="仿宋"/>
          <w:b w:val="0"/>
          <w:bCs w:val="0"/>
        </w:rPr>
        <w:t>6</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_Toc9189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TW"/>
        </w:rPr>
        <w:t>（二）教学为本，提质增效</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_Toc9189 </w:instrText>
      </w:r>
      <w:r>
        <w:rPr>
          <w:rFonts w:hint="eastAsia" w:ascii="仿宋" w:hAnsi="仿宋" w:eastAsia="仿宋" w:cs="仿宋"/>
          <w:b w:val="0"/>
          <w:bCs w:val="0"/>
        </w:rPr>
        <w:fldChar w:fldCharType="separate"/>
      </w:r>
      <w:r>
        <w:rPr>
          <w:rFonts w:hint="eastAsia" w:ascii="仿宋" w:hAnsi="仿宋" w:eastAsia="仿宋" w:cs="仿宋"/>
          <w:b w:val="0"/>
          <w:bCs w:val="0"/>
        </w:rPr>
        <w:t>7</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_Toc29371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TW"/>
        </w:rPr>
        <w:t>（三）融合创新，引领跨越</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_Toc29371 </w:instrText>
      </w:r>
      <w:r>
        <w:rPr>
          <w:rFonts w:hint="eastAsia" w:ascii="仿宋" w:hAnsi="仿宋" w:eastAsia="仿宋" w:cs="仿宋"/>
          <w:b w:val="0"/>
          <w:bCs w:val="0"/>
        </w:rPr>
        <w:fldChar w:fldCharType="separate"/>
      </w:r>
      <w:r>
        <w:rPr>
          <w:rFonts w:hint="eastAsia" w:ascii="仿宋" w:hAnsi="仿宋" w:eastAsia="仿宋" w:cs="仿宋"/>
          <w:b w:val="0"/>
          <w:bCs w:val="0"/>
        </w:rPr>
        <w:t>7</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_Toc11970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四、</w:t>
      </w:r>
      <w:r>
        <w:rPr>
          <w:rFonts w:hint="eastAsia" w:ascii="仿宋" w:hAnsi="仿宋" w:eastAsia="仿宋" w:cs="仿宋"/>
          <w:b/>
          <w:bCs/>
          <w:lang w:val="zh-TW" w:eastAsia="zh-TW"/>
        </w:rPr>
        <w:t>赛项设计原则</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_Toc11970 </w:instrText>
      </w:r>
      <w:r>
        <w:rPr>
          <w:rFonts w:hint="eastAsia" w:ascii="仿宋" w:hAnsi="仿宋" w:eastAsia="仿宋" w:cs="仿宋"/>
          <w:b/>
          <w:bCs/>
        </w:rPr>
        <w:fldChar w:fldCharType="separate"/>
      </w:r>
      <w:r>
        <w:rPr>
          <w:rFonts w:hint="eastAsia" w:ascii="仿宋" w:hAnsi="仿宋" w:eastAsia="仿宋" w:cs="仿宋"/>
          <w:b/>
          <w:bCs/>
        </w:rPr>
        <w:t>8</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_Toc7812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szCs w:val="28"/>
          <w:lang w:val="zh-TW" w:eastAsia="zh-TW"/>
        </w:rPr>
        <w:t>（一）赛项设计坚持公开、公平、公正原则</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_Toc7812 </w:instrText>
      </w:r>
      <w:r>
        <w:rPr>
          <w:rFonts w:hint="eastAsia" w:ascii="仿宋" w:hAnsi="仿宋" w:eastAsia="仿宋" w:cs="仿宋"/>
          <w:b w:val="0"/>
          <w:bCs w:val="0"/>
        </w:rPr>
        <w:fldChar w:fldCharType="separate"/>
      </w:r>
      <w:r>
        <w:rPr>
          <w:rFonts w:hint="eastAsia" w:ascii="仿宋" w:hAnsi="仿宋" w:eastAsia="仿宋" w:cs="仿宋"/>
          <w:b w:val="0"/>
          <w:bCs w:val="0"/>
        </w:rPr>
        <w:t>8</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_Toc19308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szCs w:val="28"/>
          <w:lang w:val="zh-TW" w:eastAsia="zh-TW"/>
        </w:rPr>
        <w:t>（二）赛项设计坚持服务产业转型升级，高度匹配产业广泛用人需求及扎实专业基础原则</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_Toc19308 </w:instrText>
      </w:r>
      <w:r>
        <w:rPr>
          <w:rFonts w:hint="eastAsia" w:ascii="仿宋" w:hAnsi="仿宋" w:eastAsia="仿宋" w:cs="仿宋"/>
          <w:b w:val="0"/>
          <w:bCs w:val="0"/>
        </w:rPr>
        <w:fldChar w:fldCharType="separate"/>
      </w:r>
      <w:r>
        <w:rPr>
          <w:rFonts w:hint="eastAsia" w:ascii="仿宋" w:hAnsi="仿宋" w:eastAsia="仿宋" w:cs="仿宋"/>
          <w:b w:val="0"/>
          <w:bCs w:val="0"/>
        </w:rPr>
        <w:t>8</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_Toc22812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szCs w:val="28"/>
          <w:lang w:val="zh-TW" w:eastAsia="zh-TW"/>
        </w:rPr>
        <w:t>（三）赛项设计坚持产教融合，教学为本，竞赛内容匹配职业岗位，体现专业核心能力与核心知识，全面涵盖专业知识与专业技能原则</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_Toc22812 </w:instrText>
      </w:r>
      <w:r>
        <w:rPr>
          <w:rFonts w:hint="eastAsia" w:ascii="仿宋" w:hAnsi="仿宋" w:eastAsia="仿宋" w:cs="仿宋"/>
          <w:b w:val="0"/>
          <w:bCs w:val="0"/>
        </w:rPr>
        <w:fldChar w:fldCharType="separate"/>
      </w:r>
      <w:r>
        <w:rPr>
          <w:rFonts w:hint="eastAsia" w:ascii="仿宋" w:hAnsi="仿宋" w:eastAsia="仿宋" w:cs="仿宋"/>
          <w:b w:val="0"/>
          <w:bCs w:val="0"/>
        </w:rPr>
        <w:t>8</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_Toc6150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szCs w:val="28"/>
          <w:lang w:val="zh-TW" w:eastAsia="zh-TW"/>
        </w:rPr>
        <w:t>（四）赛项设计坚持优选技术先进、应用成熟、通用性强、社会保有量高的竞赛平台原则</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_Toc6150 </w:instrText>
      </w:r>
      <w:r>
        <w:rPr>
          <w:rFonts w:hint="eastAsia" w:ascii="仿宋" w:hAnsi="仿宋" w:eastAsia="仿宋" w:cs="仿宋"/>
          <w:b w:val="0"/>
          <w:bCs w:val="0"/>
        </w:rPr>
        <w:fldChar w:fldCharType="separate"/>
      </w:r>
      <w:r>
        <w:rPr>
          <w:rFonts w:hint="eastAsia" w:ascii="仿宋" w:hAnsi="仿宋" w:eastAsia="仿宋" w:cs="仿宋"/>
          <w:b w:val="0"/>
          <w:bCs w:val="0"/>
        </w:rPr>
        <w:t>9</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_Toc29642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szCs w:val="28"/>
          <w:lang w:val="zh-TW" w:eastAsia="zh-TW"/>
        </w:rPr>
        <w:t>（五）坚持赛项规划成熟度与前瞻性并行原则</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_Toc29642 </w:instrText>
      </w:r>
      <w:r>
        <w:rPr>
          <w:rFonts w:hint="eastAsia" w:ascii="仿宋" w:hAnsi="仿宋" w:eastAsia="仿宋" w:cs="仿宋"/>
          <w:b w:val="0"/>
          <w:bCs w:val="0"/>
        </w:rPr>
        <w:fldChar w:fldCharType="separate"/>
      </w:r>
      <w:r>
        <w:rPr>
          <w:rFonts w:hint="eastAsia" w:ascii="仿宋" w:hAnsi="仿宋" w:eastAsia="仿宋" w:cs="仿宋"/>
          <w:b w:val="0"/>
          <w:bCs w:val="0"/>
        </w:rPr>
        <w:t>9</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_Toc26018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五、</w:t>
      </w:r>
      <w:r>
        <w:rPr>
          <w:rFonts w:hint="eastAsia" w:ascii="仿宋" w:hAnsi="仿宋" w:eastAsia="仿宋" w:cs="仿宋"/>
          <w:b/>
          <w:bCs/>
          <w:lang w:val="zh-TW" w:eastAsia="zh-TW"/>
        </w:rPr>
        <w:t>赛项方案特色与创新点</w:t>
      </w:r>
      <w:r>
        <w:rPr>
          <w:rFonts w:hint="eastAsia" w:ascii="仿宋" w:hAnsi="仿宋" w:eastAsia="仿宋" w:cs="仿宋"/>
          <w:b/>
          <w:bCs/>
        </w:rPr>
        <w:tab/>
      </w:r>
      <w:r>
        <w:rPr>
          <w:rFonts w:hint="eastAsia" w:ascii="仿宋" w:hAnsi="仿宋" w:eastAsia="仿宋" w:cs="仿宋"/>
          <w:b/>
          <w:bCs/>
          <w:lang w:val="en-US" w:eastAsia="zh-CN"/>
        </w:rPr>
        <w:t>9</w:t>
      </w:r>
      <w:r>
        <w:rPr>
          <w:rFonts w:hint="eastAsia" w:ascii="仿宋" w:hAnsi="仿宋" w:eastAsia="仿宋" w:cs="仿宋"/>
          <w:b/>
          <w:bCs/>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_Toc21662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TW"/>
        </w:rPr>
        <w:t>（一）赛项方案特色</w:t>
      </w:r>
      <w:r>
        <w:rPr>
          <w:rFonts w:hint="eastAsia" w:ascii="仿宋" w:hAnsi="仿宋" w:eastAsia="仿宋" w:cs="仿宋"/>
          <w:b w:val="0"/>
          <w:bCs w:val="0"/>
        </w:rPr>
        <w:tab/>
      </w:r>
      <w:r>
        <w:rPr>
          <w:rFonts w:hint="eastAsia" w:ascii="仿宋" w:hAnsi="仿宋" w:eastAsia="仿宋" w:cs="仿宋"/>
          <w:b w:val="0"/>
          <w:bCs w:val="0"/>
          <w:lang w:val="en-US" w:eastAsia="zh-CN"/>
        </w:rPr>
        <w:t>9</w:t>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_Toc31224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TW"/>
        </w:rPr>
        <w:t>（二）赛项创新点</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_Toc31224 </w:instrText>
      </w:r>
      <w:r>
        <w:rPr>
          <w:rFonts w:hint="eastAsia" w:ascii="仿宋" w:hAnsi="仿宋" w:eastAsia="仿宋" w:cs="仿宋"/>
          <w:b w:val="0"/>
          <w:bCs w:val="0"/>
        </w:rPr>
        <w:fldChar w:fldCharType="separate"/>
      </w:r>
      <w:r>
        <w:rPr>
          <w:rFonts w:hint="eastAsia" w:ascii="仿宋" w:hAnsi="仿宋" w:eastAsia="仿宋" w:cs="仿宋"/>
          <w:b w:val="0"/>
          <w:bCs w:val="0"/>
        </w:rPr>
        <w:t>11</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_Toc25930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六、</w:t>
      </w:r>
      <w:r>
        <w:rPr>
          <w:rFonts w:hint="eastAsia" w:ascii="仿宋" w:hAnsi="仿宋" w:eastAsia="仿宋" w:cs="仿宋"/>
          <w:b/>
          <w:bCs/>
          <w:lang w:val="zh-TW" w:eastAsia="zh-TW"/>
        </w:rPr>
        <w:t>竞赛内容简介</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_Toc25930 </w:instrText>
      </w:r>
      <w:r>
        <w:rPr>
          <w:rFonts w:hint="eastAsia" w:ascii="仿宋" w:hAnsi="仿宋" w:eastAsia="仿宋" w:cs="仿宋"/>
          <w:b/>
          <w:bCs/>
        </w:rPr>
        <w:fldChar w:fldCharType="separate"/>
      </w:r>
      <w:r>
        <w:rPr>
          <w:rFonts w:hint="eastAsia" w:ascii="仿宋" w:hAnsi="仿宋" w:eastAsia="仿宋" w:cs="仿宋"/>
          <w:b/>
          <w:bCs/>
        </w:rPr>
        <w:t>12</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_Toc14276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七、</w:t>
      </w:r>
      <w:r>
        <w:rPr>
          <w:rFonts w:hint="eastAsia" w:ascii="仿宋" w:hAnsi="仿宋" w:eastAsia="仿宋" w:cs="仿宋"/>
          <w:b/>
          <w:bCs/>
          <w:lang w:val="zh-TW" w:eastAsia="zh-TW"/>
        </w:rPr>
        <w:t>竞赛方式</w:t>
      </w:r>
      <w:r>
        <w:rPr>
          <w:rFonts w:hint="eastAsia" w:ascii="仿宋" w:hAnsi="仿宋" w:eastAsia="仿宋" w:cs="仿宋"/>
          <w:b/>
          <w:bCs/>
        </w:rPr>
        <w:tab/>
      </w:r>
      <w:r>
        <w:rPr>
          <w:rFonts w:hint="eastAsia" w:ascii="仿宋" w:hAnsi="仿宋" w:eastAsia="仿宋" w:cs="仿宋"/>
          <w:b/>
          <w:bCs/>
          <w:lang w:val="en-US" w:eastAsia="zh-CN"/>
        </w:rPr>
        <w:t>1</w:t>
      </w:r>
      <w:r>
        <w:rPr>
          <w:rFonts w:hint="eastAsia" w:ascii="仿宋" w:hAnsi="仿宋" w:eastAsia="仿宋" w:cs="仿宋"/>
          <w:b/>
          <w:bCs/>
          <w:lang w:val="zh-TW" w:eastAsia="zh-TW"/>
        </w:rPr>
        <w:fldChar w:fldCharType="end"/>
      </w:r>
      <w:r>
        <w:rPr>
          <w:rFonts w:hint="eastAsia" w:ascii="仿宋" w:hAnsi="仿宋" w:eastAsia="仿宋" w:cs="仿宋"/>
          <w:b/>
          <w:bCs/>
          <w:lang w:val="en-US" w:eastAsia="zh-CN"/>
        </w:rPr>
        <w:t>3</w:t>
      </w:r>
    </w:p>
    <w:p>
      <w:pPr>
        <w:pStyle w:val="9"/>
        <w:framePr w:w="0" w:wrap="auto" w:vAnchor="margin" w:hAnchor="text" w:yAlign="inline"/>
        <w:tabs>
          <w:tab w:val="right" w:leader="dot" w:pos="9610"/>
          <w:tab w:val="clear" w:pos="147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_Toc10505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TW"/>
        </w:rPr>
        <w:t>八</w:t>
      </w:r>
      <w:r>
        <w:rPr>
          <w:rFonts w:hint="eastAsia" w:ascii="仿宋" w:hAnsi="仿宋" w:eastAsia="仿宋" w:cs="仿宋"/>
          <w:b/>
          <w:bCs/>
          <w:lang w:val="zh-TW" w:eastAsia="zh-CN"/>
        </w:rPr>
        <w:t>、</w:t>
      </w:r>
      <w:r>
        <w:rPr>
          <w:rFonts w:hint="eastAsia" w:ascii="仿宋" w:hAnsi="仿宋" w:eastAsia="仿宋" w:cs="仿宋"/>
          <w:b/>
          <w:bCs/>
          <w:lang w:val="zh-TW" w:eastAsia="zh-TW"/>
        </w:rPr>
        <w:t>竞赛时间安排与流程</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_Toc10505 </w:instrText>
      </w:r>
      <w:r>
        <w:rPr>
          <w:rFonts w:hint="eastAsia" w:ascii="仿宋" w:hAnsi="仿宋" w:eastAsia="仿宋" w:cs="仿宋"/>
          <w:b/>
          <w:bCs/>
        </w:rPr>
        <w:fldChar w:fldCharType="separate"/>
      </w:r>
      <w:r>
        <w:rPr>
          <w:rFonts w:hint="eastAsia" w:ascii="仿宋" w:hAnsi="仿宋" w:eastAsia="仿宋" w:cs="仿宋"/>
          <w:b/>
          <w:bCs/>
        </w:rPr>
        <w:t>14</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_Toc9358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CN"/>
        </w:rPr>
        <w:t>（一）</w:t>
      </w:r>
      <w:r>
        <w:rPr>
          <w:rFonts w:hint="eastAsia" w:ascii="仿宋" w:hAnsi="仿宋" w:eastAsia="仿宋" w:cs="仿宋"/>
          <w:b w:val="0"/>
          <w:bCs w:val="0"/>
          <w:lang w:val="zh-TW" w:eastAsia="zh-TW"/>
        </w:rPr>
        <w:t>时间安排</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_Toc9358 </w:instrText>
      </w:r>
      <w:r>
        <w:rPr>
          <w:rFonts w:hint="eastAsia" w:ascii="仿宋" w:hAnsi="仿宋" w:eastAsia="仿宋" w:cs="仿宋"/>
          <w:b w:val="0"/>
          <w:bCs w:val="0"/>
        </w:rPr>
        <w:fldChar w:fldCharType="separate"/>
      </w:r>
      <w:r>
        <w:rPr>
          <w:rFonts w:hint="eastAsia" w:ascii="仿宋" w:hAnsi="仿宋" w:eastAsia="仿宋" w:cs="仿宋"/>
          <w:b w:val="0"/>
          <w:bCs w:val="0"/>
        </w:rPr>
        <w:t>14</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_Toc26545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en-US" w:eastAsia="zh-CN"/>
        </w:rPr>
        <w:t>（二）</w:t>
      </w:r>
      <w:r>
        <w:rPr>
          <w:rFonts w:hint="eastAsia" w:ascii="仿宋" w:hAnsi="仿宋" w:eastAsia="仿宋" w:cs="仿宋"/>
          <w:b w:val="0"/>
          <w:bCs w:val="0"/>
          <w:lang w:val="zh-TW" w:eastAsia="zh-TW"/>
        </w:rPr>
        <w:t>竞赛流程图</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_Toc26545 </w:instrText>
      </w:r>
      <w:r>
        <w:rPr>
          <w:rFonts w:hint="eastAsia" w:ascii="仿宋" w:hAnsi="仿宋" w:eastAsia="仿宋" w:cs="仿宋"/>
          <w:b w:val="0"/>
          <w:bCs w:val="0"/>
        </w:rPr>
        <w:fldChar w:fldCharType="separate"/>
      </w:r>
      <w:r>
        <w:rPr>
          <w:rFonts w:hint="eastAsia" w:ascii="仿宋" w:hAnsi="仿宋" w:eastAsia="仿宋" w:cs="仿宋"/>
          <w:b w:val="0"/>
          <w:bCs w:val="0"/>
        </w:rPr>
        <w:t>15</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_Toc21029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九、</w:t>
      </w:r>
      <w:r>
        <w:rPr>
          <w:rFonts w:hint="eastAsia" w:ascii="仿宋" w:hAnsi="仿宋" w:eastAsia="仿宋" w:cs="仿宋"/>
          <w:b/>
          <w:bCs/>
          <w:lang w:val="zh-TW" w:eastAsia="zh-TW"/>
        </w:rPr>
        <w:t>竞赛试题</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_Toc21029 </w:instrText>
      </w:r>
      <w:r>
        <w:rPr>
          <w:rFonts w:hint="eastAsia" w:ascii="仿宋" w:hAnsi="仿宋" w:eastAsia="仿宋" w:cs="仿宋"/>
          <w:b/>
          <w:bCs/>
        </w:rPr>
        <w:fldChar w:fldCharType="separate"/>
      </w:r>
      <w:r>
        <w:rPr>
          <w:rFonts w:hint="eastAsia" w:ascii="仿宋" w:hAnsi="仿宋" w:eastAsia="仿宋" w:cs="仿宋"/>
          <w:b/>
          <w:bCs/>
        </w:rPr>
        <w:t>15</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_Toc14429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w:t>
      </w:r>
      <w:r>
        <w:rPr>
          <w:rFonts w:hint="eastAsia" w:ascii="仿宋" w:hAnsi="仿宋" w:eastAsia="仿宋" w:cs="仿宋"/>
          <w:b/>
          <w:bCs/>
          <w:lang w:val="zh-TW" w:eastAsia="zh-TW"/>
        </w:rPr>
        <w:t>评分标准制定原则、评分方法、评分细则</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_Toc14429 </w:instrText>
      </w:r>
      <w:r>
        <w:rPr>
          <w:rFonts w:hint="eastAsia" w:ascii="仿宋" w:hAnsi="仿宋" w:eastAsia="仿宋" w:cs="仿宋"/>
          <w:b/>
          <w:bCs/>
        </w:rPr>
        <w:fldChar w:fldCharType="separate"/>
      </w:r>
      <w:r>
        <w:rPr>
          <w:rFonts w:hint="eastAsia" w:ascii="仿宋" w:hAnsi="仿宋" w:eastAsia="仿宋" w:cs="仿宋"/>
          <w:b/>
          <w:bCs/>
        </w:rPr>
        <w:t>16</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_Toc16814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十一、</w:t>
      </w:r>
      <w:r>
        <w:rPr>
          <w:rFonts w:hint="eastAsia" w:ascii="仿宋" w:hAnsi="仿宋" w:eastAsia="仿宋" w:cs="仿宋"/>
          <w:b/>
          <w:bCs/>
          <w:lang w:val="zh-TW" w:eastAsia="zh-TW"/>
        </w:rPr>
        <w:t>奖项设置</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_Toc16814 </w:instrText>
      </w:r>
      <w:r>
        <w:rPr>
          <w:rFonts w:hint="eastAsia" w:ascii="仿宋" w:hAnsi="仿宋" w:eastAsia="仿宋" w:cs="仿宋"/>
          <w:b/>
          <w:bCs/>
        </w:rPr>
        <w:fldChar w:fldCharType="separate"/>
      </w:r>
      <w:r>
        <w:rPr>
          <w:rFonts w:hint="eastAsia" w:ascii="仿宋" w:hAnsi="仿宋" w:eastAsia="仿宋" w:cs="仿宋"/>
          <w:b/>
          <w:bCs/>
        </w:rPr>
        <w:t>19</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_Toc27369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十二、</w:t>
      </w:r>
      <w:r>
        <w:rPr>
          <w:rFonts w:hint="eastAsia" w:ascii="仿宋" w:hAnsi="仿宋" w:eastAsia="仿宋" w:cs="仿宋"/>
          <w:b/>
          <w:bCs/>
          <w:lang w:val="zh-TW" w:eastAsia="zh-TW"/>
        </w:rPr>
        <w:t>技术规范</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_Toc27369 </w:instrText>
      </w:r>
      <w:r>
        <w:rPr>
          <w:rFonts w:hint="eastAsia" w:ascii="仿宋" w:hAnsi="仿宋" w:eastAsia="仿宋" w:cs="仿宋"/>
          <w:b/>
          <w:bCs/>
        </w:rPr>
        <w:fldChar w:fldCharType="separate"/>
      </w:r>
      <w:r>
        <w:rPr>
          <w:rFonts w:hint="eastAsia" w:ascii="仿宋" w:hAnsi="仿宋" w:eastAsia="仿宋" w:cs="仿宋"/>
          <w:b/>
          <w:bCs/>
        </w:rPr>
        <w:t>19</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_Toc8340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十三、</w:t>
      </w:r>
      <w:r>
        <w:rPr>
          <w:rFonts w:hint="eastAsia" w:ascii="仿宋" w:hAnsi="仿宋" w:eastAsia="仿宋" w:cs="仿宋"/>
          <w:b/>
          <w:bCs/>
          <w:lang w:val="zh-TW" w:eastAsia="zh-TW"/>
        </w:rPr>
        <w:t>建议使用的比赛器材、技术平台和场地要求</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_Toc8340 </w:instrText>
      </w:r>
      <w:r>
        <w:rPr>
          <w:rFonts w:hint="eastAsia" w:ascii="仿宋" w:hAnsi="仿宋" w:eastAsia="仿宋" w:cs="仿宋"/>
          <w:b/>
          <w:bCs/>
        </w:rPr>
        <w:fldChar w:fldCharType="separate"/>
      </w:r>
      <w:r>
        <w:rPr>
          <w:rFonts w:hint="eastAsia" w:ascii="仿宋" w:hAnsi="仿宋" w:eastAsia="仿宋" w:cs="仿宋"/>
          <w:b/>
          <w:bCs/>
        </w:rPr>
        <w:t>20</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_Toc3375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szCs w:val="28"/>
          <w:lang w:val="zh-TW" w:eastAsia="zh-TW"/>
        </w:rPr>
        <w:t>（</w:t>
      </w:r>
      <w:r>
        <w:rPr>
          <w:rFonts w:hint="eastAsia" w:ascii="仿宋" w:hAnsi="仿宋" w:eastAsia="仿宋" w:cs="仿宋"/>
          <w:b w:val="0"/>
          <w:bCs w:val="0"/>
          <w:lang w:val="zh-TW" w:eastAsia="zh-TW"/>
        </w:rPr>
        <w:t>一）建议比赛器材</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_Toc3375 </w:instrText>
      </w:r>
      <w:r>
        <w:rPr>
          <w:rFonts w:hint="eastAsia" w:ascii="仿宋" w:hAnsi="仿宋" w:eastAsia="仿宋" w:cs="仿宋"/>
          <w:b w:val="0"/>
          <w:bCs w:val="0"/>
        </w:rPr>
        <w:fldChar w:fldCharType="separate"/>
      </w:r>
      <w:r>
        <w:rPr>
          <w:rFonts w:hint="eastAsia" w:ascii="仿宋" w:hAnsi="仿宋" w:eastAsia="仿宋" w:cs="仿宋"/>
          <w:b w:val="0"/>
          <w:bCs w:val="0"/>
        </w:rPr>
        <w:t>20</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_Toc19799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szCs w:val="28"/>
          <w:lang w:val="zh-TW" w:eastAsia="zh-TW"/>
        </w:rPr>
        <w:t>（</w:t>
      </w:r>
      <w:r>
        <w:rPr>
          <w:rFonts w:hint="eastAsia" w:ascii="仿宋" w:hAnsi="仿宋" w:eastAsia="仿宋" w:cs="仿宋"/>
          <w:b w:val="0"/>
          <w:bCs w:val="0"/>
          <w:lang w:val="zh-TW" w:eastAsia="zh-TW"/>
        </w:rPr>
        <w:t>二）竞赛场地和环境标准</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_Toc19799 </w:instrText>
      </w:r>
      <w:r>
        <w:rPr>
          <w:rFonts w:hint="eastAsia" w:ascii="仿宋" w:hAnsi="仿宋" w:eastAsia="仿宋" w:cs="仿宋"/>
          <w:b w:val="0"/>
          <w:bCs w:val="0"/>
        </w:rPr>
        <w:fldChar w:fldCharType="separate"/>
      </w:r>
      <w:r>
        <w:rPr>
          <w:rFonts w:hint="eastAsia" w:ascii="仿宋" w:hAnsi="仿宋" w:eastAsia="仿宋" w:cs="仿宋"/>
          <w:b w:val="0"/>
          <w:bCs w:val="0"/>
        </w:rPr>
        <w:t>23</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_Toc14817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szCs w:val="28"/>
          <w:lang w:val="zh-TW" w:eastAsia="zh-TW"/>
        </w:rPr>
        <w:t>（</w:t>
      </w:r>
      <w:r>
        <w:rPr>
          <w:rFonts w:hint="eastAsia" w:ascii="仿宋" w:hAnsi="仿宋" w:eastAsia="仿宋" w:cs="仿宋"/>
          <w:b w:val="0"/>
          <w:bCs w:val="0"/>
          <w:lang w:val="zh-TW" w:eastAsia="zh-TW"/>
        </w:rPr>
        <w:t>三）安全防范措施</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_Toc14817 </w:instrText>
      </w:r>
      <w:r>
        <w:rPr>
          <w:rFonts w:hint="eastAsia" w:ascii="仿宋" w:hAnsi="仿宋" w:eastAsia="仿宋" w:cs="仿宋"/>
          <w:b w:val="0"/>
          <w:bCs w:val="0"/>
        </w:rPr>
        <w:fldChar w:fldCharType="separate"/>
      </w:r>
      <w:r>
        <w:rPr>
          <w:rFonts w:hint="eastAsia" w:ascii="仿宋" w:hAnsi="仿宋" w:eastAsia="仿宋" w:cs="仿宋"/>
          <w:b w:val="0"/>
          <w:bCs w:val="0"/>
        </w:rPr>
        <w:t>23</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_Toc25788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十四．</w:t>
      </w:r>
      <w:r>
        <w:rPr>
          <w:rFonts w:hint="eastAsia" w:ascii="仿宋" w:hAnsi="仿宋" w:eastAsia="仿宋" w:cs="仿宋"/>
          <w:b/>
          <w:bCs/>
          <w:lang w:val="zh-TW" w:eastAsia="zh-TW"/>
        </w:rPr>
        <w:t>安全保障</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_Toc25788 </w:instrText>
      </w:r>
      <w:r>
        <w:rPr>
          <w:rFonts w:hint="eastAsia" w:ascii="仿宋" w:hAnsi="仿宋" w:eastAsia="仿宋" w:cs="仿宋"/>
          <w:b/>
          <w:bCs/>
        </w:rPr>
        <w:fldChar w:fldCharType="separate"/>
      </w:r>
      <w:r>
        <w:rPr>
          <w:rFonts w:hint="eastAsia" w:ascii="仿宋" w:hAnsi="仿宋" w:eastAsia="仿宋" w:cs="仿宋"/>
          <w:b/>
          <w:bCs/>
        </w:rPr>
        <w:t>24</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_Toc22705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十五、</w:t>
      </w:r>
      <w:r>
        <w:rPr>
          <w:rFonts w:hint="eastAsia" w:ascii="仿宋" w:hAnsi="仿宋" w:eastAsia="仿宋" w:cs="仿宋"/>
          <w:b/>
          <w:bCs/>
          <w:lang w:val="zh-TW" w:eastAsia="zh-TW"/>
        </w:rPr>
        <w:t>经费概算</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_Toc22705 </w:instrText>
      </w:r>
      <w:r>
        <w:rPr>
          <w:rFonts w:hint="eastAsia" w:ascii="仿宋" w:hAnsi="仿宋" w:eastAsia="仿宋" w:cs="仿宋"/>
          <w:b/>
          <w:bCs/>
        </w:rPr>
        <w:fldChar w:fldCharType="separate"/>
      </w:r>
      <w:r>
        <w:rPr>
          <w:rFonts w:hint="eastAsia" w:ascii="仿宋" w:hAnsi="仿宋" w:eastAsia="仿宋" w:cs="仿宋"/>
          <w:b/>
          <w:bCs/>
        </w:rPr>
        <w:t>25</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_Toc3441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十六、</w:t>
      </w:r>
      <w:r>
        <w:rPr>
          <w:rFonts w:hint="eastAsia" w:ascii="仿宋" w:hAnsi="仿宋" w:eastAsia="仿宋" w:cs="仿宋"/>
          <w:b/>
          <w:bCs/>
          <w:lang w:val="zh-TW" w:eastAsia="zh-TW"/>
        </w:rPr>
        <w:t>比赛组织与管理</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_Toc3441 </w:instrText>
      </w:r>
      <w:r>
        <w:rPr>
          <w:rFonts w:hint="eastAsia" w:ascii="仿宋" w:hAnsi="仿宋" w:eastAsia="仿宋" w:cs="仿宋"/>
          <w:b/>
          <w:bCs/>
        </w:rPr>
        <w:fldChar w:fldCharType="separate"/>
      </w:r>
      <w:r>
        <w:rPr>
          <w:rFonts w:hint="eastAsia" w:ascii="仿宋" w:hAnsi="仿宋" w:eastAsia="仿宋" w:cs="仿宋"/>
          <w:b/>
          <w:bCs/>
        </w:rPr>
        <w:t>25</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_Toc12998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十七、</w:t>
      </w:r>
      <w:r>
        <w:rPr>
          <w:rFonts w:hint="eastAsia" w:ascii="仿宋" w:hAnsi="仿宋" w:eastAsia="仿宋" w:cs="仿宋"/>
          <w:b/>
          <w:bCs/>
          <w:lang w:val="zh-TW" w:eastAsia="zh-TW"/>
        </w:rPr>
        <w:t>教学资源转化建设方案</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_Toc12998 </w:instrText>
      </w:r>
      <w:r>
        <w:rPr>
          <w:rFonts w:hint="eastAsia" w:ascii="仿宋" w:hAnsi="仿宋" w:eastAsia="仿宋" w:cs="仿宋"/>
          <w:b/>
          <w:bCs/>
        </w:rPr>
        <w:fldChar w:fldCharType="separate"/>
      </w:r>
      <w:r>
        <w:rPr>
          <w:rFonts w:hint="eastAsia" w:ascii="仿宋" w:hAnsi="仿宋" w:eastAsia="仿宋" w:cs="仿宋"/>
          <w:b/>
          <w:bCs/>
        </w:rPr>
        <w:t>26</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_Toc22458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十八、</w:t>
      </w:r>
      <w:r>
        <w:rPr>
          <w:rFonts w:hint="eastAsia" w:ascii="仿宋" w:hAnsi="仿宋" w:eastAsia="仿宋" w:cs="仿宋"/>
          <w:b/>
          <w:bCs/>
          <w:lang w:val="zh-TW" w:eastAsia="zh-TW"/>
        </w:rPr>
        <w:t>筹备工作进度时间表</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_Toc22458 </w:instrText>
      </w:r>
      <w:r>
        <w:rPr>
          <w:rFonts w:hint="eastAsia" w:ascii="仿宋" w:hAnsi="仿宋" w:eastAsia="仿宋" w:cs="仿宋"/>
          <w:b/>
          <w:bCs/>
        </w:rPr>
        <w:fldChar w:fldCharType="separate"/>
      </w:r>
      <w:r>
        <w:rPr>
          <w:rFonts w:hint="eastAsia" w:ascii="仿宋" w:hAnsi="仿宋" w:eastAsia="仿宋" w:cs="仿宋"/>
          <w:b/>
          <w:bCs/>
        </w:rPr>
        <w:t>27</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lang w:val="zh-TW" w:eastAsia="zh-TW"/>
        </w:rPr>
      </w:pPr>
      <w:r>
        <w:rPr>
          <w:rFonts w:hint="eastAsia" w:ascii="仿宋" w:hAnsi="仿宋" w:eastAsia="仿宋" w:cs="仿宋"/>
          <w:b/>
          <w:bCs/>
          <w:lang w:val="zh-TW" w:eastAsia="zh-TW"/>
        </w:rPr>
        <w:t>十九、裁判员建议</w:t>
      </w:r>
      <w:r>
        <w:rPr>
          <w:rFonts w:hint="eastAsia" w:ascii="仿宋" w:hAnsi="仿宋" w:eastAsia="仿宋" w:cs="仿宋"/>
          <w:b/>
          <w:bCs/>
        </w:rPr>
        <w:tab/>
      </w:r>
      <w:r>
        <w:rPr>
          <w:rFonts w:hint="eastAsia" w:ascii="仿宋" w:hAnsi="仿宋" w:eastAsia="仿宋" w:cs="仿宋"/>
          <w:b/>
          <w:bCs/>
          <w:lang w:val="en-US" w:eastAsia="zh-CN"/>
        </w:rPr>
        <w:t>28</w:t>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_Toc19189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二十、</w:t>
      </w:r>
      <w:r>
        <w:rPr>
          <w:rFonts w:hint="eastAsia" w:ascii="仿宋" w:hAnsi="仿宋" w:eastAsia="仿宋" w:cs="仿宋"/>
          <w:b/>
          <w:bCs/>
          <w:lang w:val="zh-TW" w:eastAsia="zh-TW"/>
        </w:rPr>
        <w:t>赛题公开承诺</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_Toc19189 </w:instrText>
      </w:r>
      <w:r>
        <w:rPr>
          <w:rFonts w:hint="eastAsia" w:ascii="仿宋" w:hAnsi="仿宋" w:eastAsia="仿宋" w:cs="仿宋"/>
          <w:b/>
          <w:bCs/>
        </w:rPr>
        <w:fldChar w:fldCharType="separate"/>
      </w:r>
      <w:r>
        <w:rPr>
          <w:rFonts w:hint="eastAsia" w:ascii="仿宋" w:hAnsi="仿宋" w:eastAsia="仿宋" w:cs="仿宋"/>
          <w:b/>
          <w:bCs/>
        </w:rPr>
        <w:t>29</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8"/>
        <w:framePr w:w="0" w:wrap="auto" w:vAnchor="margin" w:hAnchor="text" w:yAlign="inline"/>
        <w:tabs>
          <w:tab w:val="right" w:leader="dot" w:pos="9610"/>
          <w:tab w:val="clear" w:pos="840"/>
          <w:tab w:val="clear" w:pos="9590"/>
        </w:tabs>
        <w:rPr>
          <w:rFonts w:hint="eastAsia" w:ascii="仿宋" w:hAnsi="仿宋" w:eastAsia="仿宋" w:cs="仿宋"/>
          <w:b/>
          <w:bCs/>
        </w:rPr>
      </w:pPr>
      <w:r>
        <w:rPr>
          <w:rFonts w:hint="eastAsia" w:ascii="仿宋" w:hAnsi="仿宋" w:eastAsia="仿宋" w:cs="仿宋"/>
          <w:b/>
          <w:bCs/>
          <w:lang w:val="zh-TW" w:eastAsia="zh-TW"/>
        </w:rPr>
        <w:fldChar w:fldCharType="begin"/>
      </w:r>
      <w:r>
        <w:rPr>
          <w:rFonts w:hint="eastAsia" w:ascii="仿宋" w:hAnsi="仿宋" w:eastAsia="仿宋" w:cs="仿宋"/>
          <w:b/>
          <w:bCs/>
          <w:lang w:val="zh-TW" w:eastAsia="zh-TW"/>
        </w:rPr>
        <w:instrText xml:space="preserve"> HYPERLINK \l _Toc10291 </w:instrText>
      </w:r>
      <w:r>
        <w:rPr>
          <w:rFonts w:hint="eastAsia" w:ascii="仿宋" w:hAnsi="仿宋" w:eastAsia="仿宋" w:cs="仿宋"/>
          <w:b/>
          <w:bCs/>
          <w:lang w:val="zh-TW" w:eastAsia="zh-TW"/>
        </w:rPr>
        <w:fldChar w:fldCharType="separate"/>
      </w:r>
      <w:r>
        <w:rPr>
          <w:rFonts w:hint="eastAsia" w:ascii="仿宋" w:hAnsi="仿宋" w:eastAsia="仿宋" w:cs="仿宋"/>
          <w:b/>
          <w:bCs/>
          <w:lang w:val="zh-TW" w:eastAsia="zh-CN"/>
        </w:rPr>
        <w:t>二十一、</w:t>
      </w:r>
      <w:r>
        <w:rPr>
          <w:rFonts w:hint="eastAsia" w:ascii="仿宋" w:hAnsi="仿宋" w:eastAsia="仿宋" w:cs="仿宋"/>
          <w:b/>
          <w:bCs/>
          <w:lang w:val="zh-TW" w:eastAsia="zh-TW"/>
        </w:rPr>
        <w:t>其他</w:t>
      </w:r>
      <w:r>
        <w:rPr>
          <w:rFonts w:hint="eastAsia" w:ascii="仿宋" w:hAnsi="仿宋" w:eastAsia="仿宋" w:cs="仿宋"/>
          <w:b/>
          <w:bCs/>
        </w:rPr>
        <w:tab/>
      </w:r>
      <w:r>
        <w:rPr>
          <w:rFonts w:hint="eastAsia" w:ascii="仿宋" w:hAnsi="仿宋" w:eastAsia="仿宋" w:cs="仿宋"/>
          <w:b/>
          <w:bCs/>
        </w:rPr>
        <w:fldChar w:fldCharType="begin"/>
      </w:r>
      <w:r>
        <w:rPr>
          <w:rFonts w:hint="eastAsia" w:ascii="仿宋" w:hAnsi="仿宋" w:eastAsia="仿宋" w:cs="仿宋"/>
          <w:b/>
          <w:bCs/>
        </w:rPr>
        <w:instrText xml:space="preserve"> PAGEREF _Toc10291 </w:instrText>
      </w:r>
      <w:r>
        <w:rPr>
          <w:rFonts w:hint="eastAsia" w:ascii="仿宋" w:hAnsi="仿宋" w:eastAsia="仿宋" w:cs="仿宋"/>
          <w:b/>
          <w:bCs/>
        </w:rPr>
        <w:fldChar w:fldCharType="separate"/>
      </w:r>
      <w:r>
        <w:rPr>
          <w:rFonts w:hint="eastAsia" w:ascii="仿宋" w:hAnsi="仿宋" w:eastAsia="仿宋" w:cs="仿宋"/>
          <w:b/>
          <w:bCs/>
        </w:rPr>
        <w:t>30</w:t>
      </w:r>
      <w:r>
        <w:rPr>
          <w:rFonts w:hint="eastAsia" w:ascii="仿宋" w:hAnsi="仿宋" w:eastAsia="仿宋" w:cs="仿宋"/>
          <w:b/>
          <w:bCs/>
        </w:rPr>
        <w:fldChar w:fldCharType="end"/>
      </w:r>
      <w:r>
        <w:rPr>
          <w:rFonts w:hint="eastAsia" w:ascii="仿宋" w:hAnsi="仿宋" w:eastAsia="仿宋" w:cs="仿宋"/>
          <w:b/>
          <w:bCs/>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b w:val="0"/>
          <w:bCs w:val="0"/>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_Toc5145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TW"/>
        </w:rPr>
        <w:t>附件</w:t>
      </w:r>
      <w:r>
        <w:rPr>
          <w:rFonts w:hint="eastAsia" w:ascii="仿宋" w:hAnsi="仿宋" w:eastAsia="仿宋" w:cs="仿宋"/>
          <w:b w:val="0"/>
          <w:bCs w:val="0"/>
          <w:lang w:val="en-US"/>
        </w:rPr>
        <w:t>1</w:t>
      </w:r>
      <w:r>
        <w:rPr>
          <w:rFonts w:hint="eastAsia" w:ascii="仿宋" w:hAnsi="仿宋" w:eastAsia="仿宋" w:cs="仿宋"/>
          <w:b w:val="0"/>
          <w:bCs w:val="0"/>
          <w:lang w:val="zh-TW" w:eastAsia="zh-TW"/>
        </w:rPr>
        <w:t>：光伏电子工程的设计与实施赛项任务书（样题）</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_Toc5145 </w:instrText>
      </w:r>
      <w:r>
        <w:rPr>
          <w:rFonts w:hint="eastAsia" w:ascii="仿宋" w:hAnsi="仿宋" w:eastAsia="仿宋" w:cs="仿宋"/>
          <w:b w:val="0"/>
          <w:bCs w:val="0"/>
        </w:rPr>
        <w:fldChar w:fldCharType="separate"/>
      </w:r>
      <w:r>
        <w:rPr>
          <w:rFonts w:hint="eastAsia" w:ascii="仿宋" w:hAnsi="仿宋" w:eastAsia="仿宋" w:cs="仿宋"/>
          <w:b w:val="0"/>
          <w:bCs w:val="0"/>
        </w:rPr>
        <w:t>30</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pStyle w:val="9"/>
        <w:framePr w:w="0" w:wrap="auto" w:vAnchor="margin" w:hAnchor="text" w:yAlign="inline"/>
        <w:tabs>
          <w:tab w:val="right" w:leader="dot" w:pos="9610"/>
          <w:tab w:val="clear" w:pos="1470"/>
          <w:tab w:val="clear" w:pos="9590"/>
        </w:tabs>
        <w:rPr>
          <w:rFonts w:hint="eastAsia" w:ascii="仿宋" w:hAnsi="仿宋" w:eastAsia="仿宋" w:cs="仿宋"/>
        </w:rPr>
      </w:pPr>
      <w:r>
        <w:rPr>
          <w:rFonts w:hint="eastAsia" w:ascii="仿宋" w:hAnsi="仿宋" w:eastAsia="仿宋" w:cs="仿宋"/>
          <w:b w:val="0"/>
          <w:bCs w:val="0"/>
          <w:lang w:val="zh-TW" w:eastAsia="zh-TW"/>
        </w:rPr>
        <w:fldChar w:fldCharType="begin"/>
      </w:r>
      <w:r>
        <w:rPr>
          <w:rFonts w:hint="eastAsia" w:ascii="仿宋" w:hAnsi="仿宋" w:eastAsia="仿宋" w:cs="仿宋"/>
          <w:b w:val="0"/>
          <w:bCs w:val="0"/>
          <w:lang w:val="zh-TW" w:eastAsia="zh-TW"/>
        </w:rPr>
        <w:instrText xml:space="preserve"> HYPERLINK \l _Toc3122 </w:instrText>
      </w:r>
      <w:r>
        <w:rPr>
          <w:rFonts w:hint="eastAsia" w:ascii="仿宋" w:hAnsi="仿宋" w:eastAsia="仿宋" w:cs="仿宋"/>
          <w:b w:val="0"/>
          <w:bCs w:val="0"/>
          <w:lang w:val="zh-TW" w:eastAsia="zh-TW"/>
        </w:rPr>
        <w:fldChar w:fldCharType="separate"/>
      </w:r>
      <w:r>
        <w:rPr>
          <w:rFonts w:hint="eastAsia" w:ascii="仿宋" w:hAnsi="仿宋" w:eastAsia="仿宋" w:cs="仿宋"/>
          <w:b w:val="0"/>
          <w:bCs w:val="0"/>
          <w:lang w:val="zh-TW" w:eastAsia="zh-TW"/>
        </w:rPr>
        <w:t>附件</w:t>
      </w:r>
      <w:r>
        <w:rPr>
          <w:rFonts w:hint="eastAsia" w:ascii="仿宋" w:hAnsi="仿宋" w:eastAsia="仿宋" w:cs="仿宋"/>
          <w:b w:val="0"/>
          <w:bCs w:val="0"/>
          <w:lang w:val="en-US"/>
        </w:rPr>
        <w:t>2</w:t>
      </w:r>
      <w:r>
        <w:rPr>
          <w:rFonts w:hint="eastAsia" w:ascii="仿宋" w:hAnsi="仿宋" w:eastAsia="仿宋" w:cs="仿宋"/>
          <w:b w:val="0"/>
          <w:bCs w:val="0"/>
          <w:lang w:val="zh-TW" w:eastAsia="zh-TW"/>
        </w:rPr>
        <w:t>：关于推进</w:t>
      </w:r>
      <w:r>
        <w:rPr>
          <w:rFonts w:hint="eastAsia" w:ascii="仿宋" w:hAnsi="仿宋" w:eastAsia="仿宋" w:cs="仿宋"/>
          <w:b w:val="0"/>
          <w:bCs w:val="0"/>
          <w:lang w:val="en-US"/>
        </w:rPr>
        <w:t>“</w:t>
      </w:r>
      <w:r>
        <w:rPr>
          <w:rFonts w:hint="eastAsia" w:ascii="仿宋" w:hAnsi="仿宋" w:eastAsia="仿宋" w:cs="仿宋"/>
          <w:b w:val="0"/>
          <w:bCs w:val="0"/>
          <w:lang w:val="zh-TW" w:eastAsia="zh-TW"/>
        </w:rPr>
        <w:t>互联网</w:t>
      </w:r>
      <w:r>
        <w:rPr>
          <w:rFonts w:hint="eastAsia" w:ascii="仿宋" w:hAnsi="仿宋" w:eastAsia="仿宋" w:cs="仿宋"/>
          <w:b w:val="0"/>
          <w:bCs w:val="0"/>
          <w:lang w:val="en-US"/>
        </w:rPr>
        <w:t>+</w:t>
      </w:r>
      <w:r>
        <w:rPr>
          <w:rFonts w:hint="eastAsia" w:ascii="仿宋" w:hAnsi="仿宋" w:eastAsia="仿宋" w:cs="仿宋"/>
          <w:b w:val="0"/>
          <w:bCs w:val="0"/>
          <w:lang w:val="zh-TW" w:eastAsia="zh-TW"/>
        </w:rPr>
        <w:t>智慧能源</w:t>
      </w:r>
      <w:r>
        <w:rPr>
          <w:rFonts w:hint="eastAsia" w:ascii="仿宋" w:hAnsi="仿宋" w:eastAsia="仿宋" w:cs="仿宋"/>
          <w:b w:val="0"/>
          <w:bCs w:val="0"/>
          <w:lang w:val="en-US"/>
        </w:rPr>
        <w:t>”</w:t>
      </w:r>
      <w:r>
        <w:rPr>
          <w:rFonts w:hint="eastAsia" w:ascii="仿宋" w:hAnsi="仿宋" w:eastAsia="仿宋" w:cs="仿宋"/>
          <w:b w:val="0"/>
          <w:bCs w:val="0"/>
          <w:lang w:val="zh-TW" w:eastAsia="zh-TW"/>
        </w:rPr>
        <w:t>发展的指导意见</w:t>
      </w:r>
      <w:r>
        <w:rPr>
          <w:rFonts w:hint="eastAsia" w:ascii="仿宋" w:hAnsi="仿宋" w:eastAsia="仿宋" w:cs="仿宋"/>
          <w:b w:val="0"/>
          <w:bCs w:val="0"/>
        </w:rPr>
        <w:tab/>
      </w:r>
      <w:r>
        <w:rPr>
          <w:rFonts w:hint="eastAsia" w:ascii="仿宋" w:hAnsi="仿宋" w:eastAsia="仿宋" w:cs="仿宋"/>
          <w:b w:val="0"/>
          <w:bCs w:val="0"/>
        </w:rPr>
        <w:fldChar w:fldCharType="begin"/>
      </w:r>
      <w:r>
        <w:rPr>
          <w:rFonts w:hint="eastAsia" w:ascii="仿宋" w:hAnsi="仿宋" w:eastAsia="仿宋" w:cs="仿宋"/>
          <w:b w:val="0"/>
          <w:bCs w:val="0"/>
        </w:rPr>
        <w:instrText xml:space="preserve"> PAGEREF _Toc3122 </w:instrText>
      </w:r>
      <w:r>
        <w:rPr>
          <w:rFonts w:hint="eastAsia" w:ascii="仿宋" w:hAnsi="仿宋" w:eastAsia="仿宋" w:cs="仿宋"/>
          <w:b w:val="0"/>
          <w:bCs w:val="0"/>
        </w:rPr>
        <w:fldChar w:fldCharType="separate"/>
      </w:r>
      <w:r>
        <w:rPr>
          <w:rFonts w:hint="eastAsia" w:ascii="仿宋" w:hAnsi="仿宋" w:eastAsia="仿宋" w:cs="仿宋"/>
          <w:b w:val="0"/>
          <w:bCs w:val="0"/>
        </w:rPr>
        <w:t>39</w:t>
      </w:r>
      <w:r>
        <w:rPr>
          <w:rFonts w:hint="eastAsia" w:ascii="仿宋" w:hAnsi="仿宋" w:eastAsia="仿宋" w:cs="仿宋"/>
          <w:b w:val="0"/>
          <w:bCs w:val="0"/>
        </w:rPr>
        <w:fldChar w:fldCharType="end"/>
      </w:r>
      <w:r>
        <w:rPr>
          <w:rFonts w:hint="eastAsia" w:ascii="仿宋" w:hAnsi="仿宋" w:eastAsia="仿宋" w:cs="仿宋"/>
          <w:b w:val="0"/>
          <w:bCs w:val="0"/>
          <w:lang w:val="zh-TW" w:eastAsia="zh-TW"/>
        </w:rPr>
        <w:fldChar w:fldCharType="end"/>
      </w:r>
    </w:p>
    <w:p>
      <w:pPr>
        <w:framePr w:w="0" w:wrap="auto" w:vAnchor="margin" w:hAnchor="text" w:yAlign="inline"/>
        <w:rPr>
          <w:rFonts w:hint="eastAsia" w:ascii="仿宋" w:hAnsi="仿宋" w:eastAsia="仿宋" w:cs="仿宋"/>
          <w:lang w:val="zh-TW" w:eastAsia="zh-TW"/>
        </w:rPr>
      </w:pPr>
      <w:r>
        <w:rPr>
          <w:rFonts w:hint="eastAsia" w:ascii="仿宋" w:hAnsi="仿宋" w:eastAsia="仿宋" w:cs="仿宋"/>
          <w:lang w:val="zh-TW" w:eastAsia="zh-TW"/>
        </w:rPr>
        <w:fldChar w:fldCharType="end"/>
      </w:r>
    </w:p>
    <w:p>
      <w:pPr>
        <w:framePr w:w="0" w:wrap="auto" w:vAnchor="margin" w:hAnchor="text" w:yAlign="inline"/>
        <w:widowControl/>
        <w:jc w:val="left"/>
      </w:pPr>
      <w:r>
        <w:br w:type="page"/>
      </w:r>
    </w:p>
    <w:p>
      <w:pPr>
        <w:framePr w:w="0" w:wrap="auto" w:vAnchor="margin" w:hAnchor="text" w:yAlign="inline"/>
        <w:rPr>
          <w:rFonts w:hint="eastAsia" w:ascii="黑体" w:hAnsi="黑体" w:eastAsia="黑体"/>
          <w:b/>
          <w:sz w:val="36"/>
          <w:szCs w:val="36"/>
        </w:rPr>
      </w:pPr>
      <w:bookmarkStart w:id="1" w:name="_Toc1"/>
    </w:p>
    <w:p>
      <w:pPr>
        <w:framePr w:w="0" w:wrap="auto" w:vAnchor="margin" w:hAnchor="text" w:yAlign="inline"/>
        <w:rPr>
          <w:rFonts w:hint="eastAsia" w:ascii="黑体" w:hAnsi="黑体" w:eastAsia="黑体"/>
          <w:b/>
          <w:sz w:val="36"/>
          <w:szCs w:val="36"/>
        </w:rPr>
      </w:pPr>
    </w:p>
    <w:p>
      <w:pPr>
        <w:framePr w:w="0" w:wrap="auto" w:vAnchor="margin" w:hAnchor="text" w:yAlign="inline"/>
        <w:rPr>
          <w:rFonts w:hint="eastAsia" w:ascii="黑体" w:hAnsi="黑体" w:eastAsia="黑体"/>
          <w:b/>
          <w:sz w:val="36"/>
          <w:szCs w:val="36"/>
        </w:rPr>
      </w:pPr>
    </w:p>
    <w:p>
      <w:pPr>
        <w:framePr w:w="0" w:wrap="auto" w:vAnchor="margin" w:hAnchor="text" w:yAlign="inline"/>
        <w:jc w:val="center"/>
        <w:rPr>
          <w:rFonts w:hint="eastAsia" w:ascii="黑体" w:hAnsi="黑体" w:eastAsia="黑体"/>
          <w:b/>
          <w:sz w:val="36"/>
          <w:szCs w:val="36"/>
          <w:lang w:val="en-US" w:eastAsia="zh-CN"/>
        </w:rPr>
      </w:pPr>
      <w:r>
        <w:rPr>
          <w:rFonts w:hint="eastAsia" w:ascii="黑体" w:hAnsi="黑体" w:eastAsia="黑体"/>
          <w:b/>
          <w:sz w:val="36"/>
          <w:szCs w:val="36"/>
          <w:lang w:val="en-US" w:eastAsia="zh-CN"/>
        </w:rPr>
        <w:t>2017年全国职业院校技能大赛</w:t>
      </w:r>
    </w:p>
    <w:p>
      <w:pPr>
        <w:framePr w:w="0" w:wrap="auto" w:vAnchor="margin" w:hAnchor="text" w:yAlign="inline"/>
        <w:jc w:val="center"/>
        <w:rPr>
          <w:rFonts w:hint="eastAsia" w:ascii="黑体" w:hAnsi="黑体" w:eastAsia="黑体"/>
          <w:b/>
          <w:sz w:val="36"/>
          <w:szCs w:val="36"/>
        </w:rPr>
      </w:pPr>
    </w:p>
    <w:p>
      <w:pPr>
        <w:framePr w:w="0" w:wrap="auto" w:vAnchor="margin" w:hAnchor="text" w:yAlign="inline"/>
        <w:jc w:val="center"/>
        <w:rPr>
          <w:rStyle w:val="15"/>
          <w:rFonts w:hint="eastAsia" w:ascii="仿宋" w:hAnsi="仿宋" w:eastAsia="仿宋" w:cs="仿宋"/>
          <w:lang w:val="zh-TW" w:eastAsia="zh-CN"/>
        </w:rPr>
      </w:pPr>
      <w:r>
        <w:rPr>
          <w:rFonts w:hint="eastAsia" w:ascii="黑体" w:hAnsi="黑体" w:eastAsia="黑体"/>
          <w:b/>
          <w:sz w:val="36"/>
          <w:szCs w:val="36"/>
        </w:rPr>
        <w:t>竞赛项目方案</w:t>
      </w:r>
    </w:p>
    <w:p>
      <w:pPr>
        <w:pStyle w:val="2"/>
        <w:keepNext/>
        <w:keepLines/>
        <w:pageBreakBefore w:val="0"/>
        <w:framePr w:w="0" w:wrap="auto" w:vAnchor="margin" w:hAnchor="text" w:yAlign="inline"/>
        <w:widowControl w:val="0"/>
        <w:kinsoku/>
        <w:wordWrap/>
        <w:overflowPunct/>
        <w:topLinePunct w:val="0"/>
        <w:autoSpaceDE/>
        <w:autoSpaceDN/>
        <w:bidi w:val="0"/>
        <w:adjustRightInd/>
        <w:snapToGrid/>
        <w:spacing w:before="340" w:after="0" w:line="579" w:lineRule="auto"/>
        <w:ind w:left="0" w:leftChars="0" w:right="0" w:rightChars="0" w:firstLine="0" w:firstLineChars="0"/>
        <w:jc w:val="both"/>
        <w:textAlignment w:val="auto"/>
        <w:outlineLvl w:val="0"/>
        <w:rPr>
          <w:lang w:val="zh-TW" w:eastAsia="zh-TW"/>
        </w:rPr>
      </w:pPr>
      <w:bookmarkStart w:id="2" w:name="_Toc31992"/>
      <w:r>
        <w:rPr>
          <w:rFonts w:hint="eastAsia"/>
          <w:lang w:val="zh-TW" w:eastAsia="zh-CN"/>
        </w:rPr>
        <w:t>一、</w:t>
      </w:r>
      <w:r>
        <w:rPr>
          <w:lang w:val="zh-TW" w:eastAsia="zh-TW"/>
        </w:rPr>
        <w:t>赛项名称</w:t>
      </w:r>
      <w:bookmarkEnd w:id="1"/>
      <w:bookmarkEnd w:id="2"/>
    </w:p>
    <w:p>
      <w:pPr>
        <w:pStyle w:val="3"/>
        <w:framePr w:w="0" w:wrap="auto" w:vAnchor="margin" w:hAnchor="text" w:yAlign="inline"/>
        <w:rPr>
          <w:rFonts w:hint="eastAsia"/>
          <w:lang w:val="zh-TW" w:eastAsia="zh-CN"/>
        </w:rPr>
      </w:pPr>
      <w:bookmarkStart w:id="3" w:name="_Toc17647"/>
      <w:r>
        <w:rPr>
          <w:rFonts w:hint="eastAsia"/>
          <w:lang w:val="zh-TW" w:eastAsia="zh-CN"/>
        </w:rPr>
        <w:t>（一）赛项名称</w:t>
      </w:r>
      <w:bookmarkEnd w:id="3"/>
    </w:p>
    <w:p>
      <w:pPr>
        <w:framePr w:w="0" w:wrap="auto" w:vAnchor="margin" w:hAnchor="text" w:yAlign="inline"/>
        <w:ind w:firstLine="420"/>
        <w:rPr>
          <w:rFonts w:ascii="仿宋" w:hAnsi="仿宋" w:eastAsia="仿宋" w:cs="仿宋"/>
          <w:lang w:val="zh-TW" w:eastAsia="zh-TW"/>
        </w:rPr>
      </w:pPr>
      <w:r>
        <w:rPr>
          <w:rFonts w:ascii="仿宋" w:hAnsi="仿宋" w:eastAsia="仿宋" w:cs="仿宋"/>
          <w:lang w:val="zh-TW" w:eastAsia="zh-TW"/>
        </w:rPr>
        <w:t>赛项名称：光伏电子工程的设计与实施</w:t>
      </w:r>
    </w:p>
    <w:p>
      <w:pPr>
        <w:framePr w:w="0" w:wrap="auto" w:vAnchor="margin" w:hAnchor="text" w:yAlign="inline"/>
        <w:ind w:firstLine="420"/>
        <w:rPr>
          <w:rFonts w:ascii="仿宋" w:hAnsi="仿宋" w:eastAsia="仿宋" w:cs="仿宋"/>
          <w:lang w:val="zh-TW" w:eastAsia="zh-TW"/>
        </w:rPr>
      </w:pPr>
    </w:p>
    <w:p>
      <w:pPr>
        <w:pStyle w:val="3"/>
        <w:framePr w:w="0" w:wrap="auto" w:vAnchor="margin" w:hAnchor="text" w:yAlign="inline"/>
        <w:rPr>
          <w:rFonts w:hint="eastAsia"/>
          <w:lang w:eastAsia="zh-CN"/>
        </w:rPr>
      </w:pPr>
      <w:bookmarkStart w:id="4" w:name="_Toc17766"/>
      <w:r>
        <w:rPr>
          <w:rFonts w:hint="eastAsia"/>
          <w:lang w:eastAsia="zh-CN"/>
        </w:rPr>
        <w:t>（二）压题彩照</w:t>
      </w:r>
      <w:bookmarkEnd w:id="4"/>
    </w:p>
    <w:p>
      <w:pPr>
        <w:framePr w:w="0" w:wrap="auto" w:vAnchor="margin" w:hAnchor="text" w:yAlign="inline"/>
        <w:rPr>
          <w:rFonts w:ascii="仿宋" w:hAnsi="仿宋" w:eastAsia="仿宋" w:cs="仿宋"/>
          <w:lang w:val="zh-TW" w:eastAsia="zh-TW"/>
        </w:rPr>
      </w:pPr>
    </w:p>
    <w:p>
      <w:pPr>
        <w:framePr w:w="0" w:wrap="auto" w:vAnchor="margin" w:hAnchor="text" w:yAlign="inline"/>
        <w:ind w:firstLine="420"/>
        <w:rPr>
          <w:rFonts w:ascii="仿宋" w:hAnsi="仿宋" w:eastAsia="仿宋" w:cs="仿宋"/>
          <w:sz w:val="30"/>
          <w:szCs w:val="30"/>
        </w:rPr>
      </w:pPr>
      <w:r>
        <w:rPr>
          <w:rFonts w:ascii="仿宋" w:hAnsi="仿宋" w:eastAsia="仿宋" w:cs="仿宋"/>
          <w:sz w:val="30"/>
          <w:szCs w:val="30"/>
        </w:rPr>
        <w:drawing>
          <wp:inline distT="0" distB="0" distL="0" distR="0">
            <wp:extent cx="4914900" cy="3086100"/>
            <wp:effectExtent l="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8"/>
                    <a:stretch>
                      <a:fillRect/>
                    </a:stretch>
                  </pic:blipFill>
                  <pic:spPr>
                    <a:xfrm>
                      <a:off x="0" y="0"/>
                      <a:ext cx="4914900" cy="3086100"/>
                    </a:xfrm>
                    <a:prstGeom prst="rect">
                      <a:avLst/>
                    </a:prstGeom>
                    <a:ln w="12700" cap="flat">
                      <a:noFill/>
                      <a:miter lim="400000"/>
                      <a:headEnd/>
                      <a:tailEnd/>
                    </a:ln>
                    <a:effectLst/>
                  </pic:spPr>
                </pic:pic>
              </a:graphicData>
            </a:graphic>
          </wp:inline>
        </w:drawing>
      </w:r>
    </w:p>
    <w:p>
      <w:pPr>
        <w:framePr w:w="0" w:wrap="auto" w:vAnchor="margin" w:hAnchor="text" w:yAlign="inline"/>
        <w:ind w:firstLine="420"/>
        <w:rPr>
          <w:rFonts w:ascii="仿宋" w:hAnsi="仿宋" w:eastAsia="仿宋" w:cs="仿宋"/>
          <w:lang w:val="zh-TW" w:eastAsia="zh-TW"/>
        </w:rPr>
      </w:pPr>
    </w:p>
    <w:p>
      <w:pPr>
        <w:framePr w:w="0" w:wrap="auto" w:vAnchor="margin" w:hAnchor="text" w:yAlign="inline"/>
        <w:ind w:firstLine="420"/>
        <w:rPr>
          <w:rFonts w:ascii="仿宋" w:hAnsi="仿宋" w:eastAsia="仿宋" w:cs="仿宋"/>
          <w:lang w:val="zh-TW" w:eastAsia="zh-TW"/>
        </w:rPr>
      </w:pPr>
    </w:p>
    <w:p>
      <w:pPr>
        <w:pStyle w:val="3"/>
        <w:framePr w:w="0" w:wrap="auto" w:vAnchor="margin" w:hAnchor="text" w:yAlign="inline"/>
        <w:rPr>
          <w:lang w:val="zh-TW" w:eastAsia="zh-TW"/>
        </w:rPr>
      </w:pPr>
      <w:bookmarkStart w:id="5" w:name="_Toc3"/>
      <w:bookmarkStart w:id="6" w:name="_Toc16992"/>
      <w:r>
        <w:rPr>
          <w:rFonts w:hint="eastAsia"/>
          <w:lang w:val="zh-TW" w:eastAsia="zh-CN"/>
        </w:rPr>
        <w:t>（三）</w:t>
      </w:r>
      <w:r>
        <w:rPr>
          <w:lang w:val="zh-TW" w:eastAsia="zh-TW"/>
        </w:rPr>
        <w:t>赛项归属产业类型</w:t>
      </w:r>
      <w:bookmarkEnd w:id="5"/>
      <w:bookmarkEnd w:id="6"/>
    </w:p>
    <w:p>
      <w:pPr>
        <w:framePr w:w="0" w:wrap="auto" w:vAnchor="margin" w:hAnchor="text" w:yAlign="inline"/>
        <w:ind w:firstLine="420"/>
        <w:rPr>
          <w:rFonts w:ascii="仿宋" w:hAnsi="仿宋" w:eastAsia="仿宋" w:cs="仿宋"/>
          <w:lang w:val="zh-TW" w:eastAsia="zh-TW"/>
        </w:rPr>
      </w:pPr>
    </w:p>
    <w:p>
      <w:pPr>
        <w:framePr w:w="0" w:wrap="auto" w:vAnchor="margin" w:hAnchor="text" w:yAlign="inline"/>
        <w:ind w:firstLine="420"/>
        <w:rPr>
          <w:rFonts w:ascii="仿宋" w:hAnsi="仿宋" w:eastAsia="仿宋" w:cs="仿宋"/>
          <w:sz w:val="30"/>
          <w:szCs w:val="30"/>
          <w:lang w:val="zh-TW" w:eastAsia="zh-TW"/>
        </w:rPr>
      </w:pPr>
      <w:r>
        <w:rPr>
          <w:rFonts w:ascii="仿宋" w:hAnsi="仿宋" w:eastAsia="仿宋" w:cs="仿宋"/>
          <w:lang w:val="zh-TW" w:eastAsia="zh-TW"/>
        </w:rPr>
        <w:t>战略新兴产业、电子信息产业、新能源技术产业</w:t>
      </w:r>
    </w:p>
    <w:tbl>
      <w:tblPr>
        <w:tblStyle w:val="12"/>
        <w:tblpPr w:leftFromText="180" w:rightFromText="180" w:vertAnchor="text" w:horzAnchor="page" w:tblpX="1461" w:tblpY="1474"/>
        <w:tblOverlap w:val="never"/>
        <w:tblW w:w="10021"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15"/>
        <w:gridCol w:w="2136"/>
        <w:gridCol w:w="1356"/>
        <w:gridCol w:w="2705"/>
        <w:gridCol w:w="310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530" w:hRule="exact"/>
        </w:trPr>
        <w:tc>
          <w:tcPr>
            <w:tcW w:w="7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bookmarkStart w:id="7" w:name="_Toc4"/>
            <w:r>
              <w:rPr>
                <w:rFonts w:ascii="仿宋" w:hAnsi="仿宋" w:eastAsia="仿宋" w:cs="仿宋"/>
                <w:b/>
                <w:bCs/>
                <w:sz w:val="24"/>
                <w:szCs w:val="24"/>
                <w:lang w:val="zh-TW" w:eastAsia="zh-TW"/>
              </w:rPr>
              <w:t>序号</w:t>
            </w:r>
          </w:p>
        </w:tc>
        <w:tc>
          <w:tcPr>
            <w:tcW w:w="21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tabs>
                <w:tab w:val="center" w:pos="1941"/>
                <w:tab w:val="right" w:pos="3883"/>
              </w:tabs>
              <w:jc w:val="center"/>
            </w:pPr>
            <w:r>
              <w:rPr>
                <w:rFonts w:ascii="仿宋" w:hAnsi="仿宋" w:eastAsia="仿宋" w:cs="仿宋"/>
                <w:b/>
                <w:bCs/>
                <w:sz w:val="24"/>
                <w:szCs w:val="24"/>
                <w:lang w:val="zh-TW" w:eastAsia="zh-TW"/>
              </w:rPr>
              <w:t>专业大类</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专业代码</w:t>
            </w:r>
          </w:p>
        </w:tc>
        <w:tc>
          <w:tcPr>
            <w:tcW w:w="2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专业名称</w:t>
            </w:r>
          </w:p>
        </w:tc>
        <w:tc>
          <w:tcPr>
            <w:tcW w:w="3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专业方向</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7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1</w:t>
            </w:r>
          </w:p>
        </w:tc>
        <w:tc>
          <w:tcPr>
            <w:tcW w:w="2136"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6101</w:t>
            </w:r>
            <w:r>
              <w:rPr>
                <w:rFonts w:ascii="仿宋" w:hAnsi="仿宋" w:eastAsia="仿宋" w:cs="仿宋"/>
                <w:sz w:val="21"/>
                <w:szCs w:val="21"/>
                <w:lang w:val="zh-TW" w:eastAsia="zh-TW"/>
              </w:rPr>
              <w:t>电子信息类</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610117</w:t>
            </w:r>
          </w:p>
        </w:tc>
        <w:tc>
          <w:tcPr>
            <w:tcW w:w="2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光伏工程技术</w:t>
            </w:r>
          </w:p>
        </w:tc>
        <w:tc>
          <w:tcPr>
            <w:tcW w:w="3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7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2</w:t>
            </w:r>
          </w:p>
        </w:tc>
        <w:tc>
          <w:tcPr>
            <w:tcW w:w="2136"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610102</w:t>
            </w:r>
          </w:p>
        </w:tc>
        <w:tc>
          <w:tcPr>
            <w:tcW w:w="2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应用电子技术</w:t>
            </w:r>
          </w:p>
        </w:tc>
        <w:tc>
          <w:tcPr>
            <w:tcW w:w="3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新能源电子技术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7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3</w:t>
            </w:r>
          </w:p>
        </w:tc>
        <w:tc>
          <w:tcPr>
            <w:tcW w:w="21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5301</w:t>
            </w:r>
            <w:r>
              <w:rPr>
                <w:rFonts w:ascii="仿宋" w:hAnsi="仿宋" w:eastAsia="仿宋" w:cs="仿宋"/>
                <w:sz w:val="21"/>
                <w:szCs w:val="21"/>
                <w:lang w:val="zh-TW" w:eastAsia="zh-TW"/>
              </w:rPr>
              <w:t>电力技术类</w:t>
            </w:r>
          </w:p>
        </w:tc>
        <w:tc>
          <w:tcPr>
            <w:tcW w:w="13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530112</w:t>
            </w:r>
          </w:p>
        </w:tc>
        <w:tc>
          <w:tcPr>
            <w:tcW w:w="270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分布式发电与微电网技术</w:t>
            </w:r>
          </w:p>
        </w:tc>
        <w:tc>
          <w:tcPr>
            <w:tcW w:w="31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太阳能发电技术利用</w:t>
            </w:r>
          </w:p>
        </w:tc>
      </w:tr>
    </w:tbl>
    <w:p>
      <w:pPr>
        <w:pStyle w:val="3"/>
        <w:framePr w:w="0" w:wrap="auto" w:vAnchor="margin" w:hAnchor="text" w:yAlign="inline"/>
        <w:rPr>
          <w:lang w:val="zh-TW" w:eastAsia="zh-TW"/>
        </w:rPr>
      </w:pPr>
      <w:bookmarkStart w:id="8" w:name="_Toc31237"/>
      <w:r>
        <w:rPr>
          <w:rFonts w:hint="eastAsia"/>
          <w:lang w:val="zh-TW" w:eastAsia="zh-CN"/>
        </w:rPr>
        <w:t>（四）</w:t>
      </w:r>
      <w:r>
        <w:rPr>
          <w:lang w:val="zh-TW" w:eastAsia="zh-TW"/>
        </w:rPr>
        <w:t>赛项归属专业大类</w:t>
      </w:r>
      <w:bookmarkEnd w:id="8"/>
    </w:p>
    <w:bookmarkEnd w:id="7"/>
    <w:p>
      <w:pPr>
        <w:keepNext w:val="0"/>
        <w:keepLines w:val="0"/>
        <w:pageBreakBefore w:val="0"/>
        <w:framePr w:w="0"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lang w:val="zh-TW" w:eastAsia="zh-TW"/>
        </w:rPr>
      </w:pPr>
    </w:p>
    <w:p>
      <w:pPr>
        <w:keepNext w:val="0"/>
        <w:keepLines w:val="0"/>
        <w:pageBreakBefore w:val="0"/>
        <w:framePr w:w="0"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right="0" w:rightChars="0"/>
        <w:jc w:val="both"/>
        <w:outlineLvl w:val="9"/>
        <w:rPr>
          <w:lang w:val="zh-TW" w:eastAsia="zh-TW"/>
        </w:rPr>
      </w:pPr>
    </w:p>
    <w:p>
      <w:pPr>
        <w:pStyle w:val="2"/>
        <w:framePr w:w="0" w:wrap="auto" w:vAnchor="margin" w:hAnchor="text" w:yAlign="inline"/>
        <w:rPr>
          <w:lang w:val="zh-TW" w:eastAsia="zh-TW"/>
        </w:rPr>
      </w:pPr>
      <w:bookmarkStart w:id="9" w:name="_Toc5"/>
      <w:bookmarkStart w:id="10" w:name="_Toc2633"/>
      <w:r>
        <w:rPr>
          <w:rFonts w:hint="eastAsia"/>
          <w:lang w:val="zh-TW" w:eastAsia="zh-CN"/>
        </w:rPr>
        <w:t>二、</w:t>
      </w:r>
      <w:r>
        <w:rPr>
          <w:lang w:val="zh-TW" w:eastAsia="zh-TW"/>
        </w:rPr>
        <w:t>赛项申报专家组</w:t>
      </w:r>
      <w:bookmarkEnd w:id="9"/>
      <w:bookmarkEnd w:id="10"/>
    </w:p>
    <w:tbl>
      <w:tblPr>
        <w:tblStyle w:val="12"/>
        <w:tblpPr w:leftFromText="180" w:rightFromText="180" w:vertAnchor="text" w:horzAnchor="page" w:tblpX="1266" w:tblpY="168"/>
        <w:tblOverlap w:val="never"/>
        <w:tblW w:w="9609"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1025"/>
        <w:gridCol w:w="1354"/>
        <w:gridCol w:w="1033"/>
        <w:gridCol w:w="1531"/>
        <w:gridCol w:w="673"/>
        <w:gridCol w:w="1397"/>
        <w:gridCol w:w="259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姓名</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单位</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专业</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职务</w:t>
            </w:r>
            <w:r>
              <w:rPr>
                <w:rFonts w:ascii="宋体" w:hAnsi="宋体" w:eastAsia="宋体" w:cs="宋体"/>
                <w:b/>
                <w:bCs/>
                <w:sz w:val="24"/>
                <w:szCs w:val="24"/>
                <w:lang w:val="en-US"/>
              </w:rPr>
              <w:t>/</w:t>
            </w:r>
            <w:r>
              <w:rPr>
                <w:rFonts w:ascii="仿宋" w:hAnsi="仿宋" w:eastAsia="仿宋" w:cs="仿宋"/>
                <w:b/>
                <w:bCs/>
                <w:sz w:val="24"/>
                <w:szCs w:val="24"/>
                <w:lang w:val="zh-TW" w:eastAsia="zh-TW"/>
              </w:rPr>
              <w:t>职称</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年龄</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手机号码</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b/>
                <w:bCs/>
                <w:sz w:val="24"/>
                <w:szCs w:val="24"/>
                <w:lang w:val="zh-TW" w:eastAsia="zh-TW"/>
              </w:rPr>
              <w:t>邮箱</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孙学耕</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福建信息职业技术学院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电子信息</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系主任</w:t>
            </w:r>
            <w:r>
              <w:rPr>
                <w:rFonts w:ascii="仿宋" w:hAnsi="仿宋" w:eastAsia="仿宋" w:cs="仿宋"/>
                <w:sz w:val="21"/>
                <w:szCs w:val="21"/>
                <w:lang w:val="en-US"/>
              </w:rPr>
              <w:t>/</w:t>
            </w:r>
            <w:r>
              <w:rPr>
                <w:rFonts w:ascii="仿宋" w:hAnsi="仿宋" w:eastAsia="仿宋" w:cs="仿宋"/>
                <w:sz w:val="21"/>
                <w:szCs w:val="21"/>
                <w:lang w:val="zh-TW" w:eastAsia="zh-TW"/>
              </w:rPr>
              <w:t>教授</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45</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13809556246</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Sxgeng@sina.com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Geoffrey O•Brien</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rPr>
                <w:rFonts w:ascii="仿宋" w:hAnsi="仿宋" w:eastAsia="仿宋" w:cs="仿宋"/>
                <w:sz w:val="21"/>
                <w:szCs w:val="21"/>
              </w:rPr>
            </w:pPr>
            <w:r>
              <w:rPr>
                <w:rStyle w:val="15"/>
                <w:rFonts w:ascii="仿宋" w:hAnsi="仿宋" w:eastAsia="仿宋" w:cs="仿宋"/>
                <w:sz w:val="21"/>
                <w:szCs w:val="21"/>
                <w:lang w:val="zh-TW" w:eastAsia="zh-TW"/>
              </w:rPr>
              <w:t>诺森比亚</w:t>
            </w:r>
          </w:p>
          <w:p>
            <w:pPr>
              <w:framePr w:w="0" w:wrap="auto" w:vAnchor="margin" w:hAnchor="text" w:yAlign="inline"/>
              <w:jc w:val="center"/>
            </w:pPr>
            <w:r>
              <w:rPr>
                <w:rFonts w:ascii="仿宋" w:hAnsi="仿宋" w:eastAsia="仿宋" w:cs="仿宋"/>
                <w:sz w:val="21"/>
                <w:szCs w:val="21"/>
                <w:lang w:val="zh-TW" w:eastAsia="zh-TW"/>
              </w:rPr>
              <w:t>大学</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rPr>
                <w:rFonts w:ascii="仿宋" w:hAnsi="仿宋" w:eastAsia="仿宋" w:cs="仿宋"/>
                <w:sz w:val="21"/>
                <w:szCs w:val="21"/>
              </w:rPr>
            </w:pPr>
            <w:r>
              <w:rPr>
                <w:rStyle w:val="15"/>
                <w:rFonts w:ascii="仿宋" w:hAnsi="仿宋" w:eastAsia="仿宋" w:cs="仿宋"/>
                <w:sz w:val="21"/>
                <w:szCs w:val="21"/>
                <w:lang w:val="zh-TW" w:eastAsia="zh-TW"/>
              </w:rPr>
              <w:t>光伏工程</w:t>
            </w:r>
          </w:p>
          <w:p>
            <w:pPr>
              <w:framePr w:w="0" w:wrap="auto" w:vAnchor="margin" w:hAnchor="text" w:yAlign="inline"/>
              <w:jc w:val="center"/>
            </w:pPr>
            <w:r>
              <w:rPr>
                <w:rFonts w:ascii="仿宋" w:hAnsi="仿宋" w:eastAsia="仿宋" w:cs="仿宋"/>
                <w:sz w:val="21"/>
                <w:szCs w:val="21"/>
                <w:lang w:val="zh-TW" w:eastAsia="zh-TW"/>
              </w:rPr>
              <w:t>区域能源</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rPr>
                <w:rFonts w:ascii="仿宋" w:hAnsi="仿宋" w:eastAsia="仿宋" w:cs="仿宋"/>
                <w:sz w:val="21"/>
                <w:szCs w:val="21"/>
              </w:rPr>
            </w:pPr>
            <w:r>
              <w:rPr>
                <w:rStyle w:val="15"/>
                <w:rFonts w:ascii="仿宋" w:hAnsi="仿宋" w:eastAsia="仿宋" w:cs="仿宋"/>
                <w:sz w:val="21"/>
                <w:szCs w:val="21"/>
                <w:lang w:val="zh-TW" w:eastAsia="zh-TW"/>
              </w:rPr>
              <w:t>博士</w:t>
            </w:r>
          </w:p>
          <w:p>
            <w:pPr>
              <w:framePr w:w="0" w:wrap="auto" w:vAnchor="margin" w:hAnchor="text" w:yAlign="inline"/>
              <w:jc w:val="center"/>
            </w:pPr>
            <w:r>
              <w:rPr>
                <w:rFonts w:ascii="仿宋" w:hAnsi="仿宋" w:eastAsia="仿宋" w:cs="仿宋"/>
                <w:sz w:val="21"/>
                <w:szCs w:val="21"/>
                <w:lang w:val="zh-TW" w:eastAsia="zh-TW"/>
              </w:rPr>
              <w:t>中组部高专</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64</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18668088266</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Geof@rheaeco.com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毛续飞</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清华大学</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电子、物联网通讯</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博士</w:t>
            </w:r>
            <w:r>
              <w:rPr>
                <w:rFonts w:ascii="仿宋" w:hAnsi="仿宋" w:eastAsia="仿宋" w:cs="仿宋"/>
                <w:sz w:val="21"/>
                <w:szCs w:val="21"/>
                <w:lang w:val="en-US"/>
              </w:rPr>
              <w:t>/</w:t>
            </w:r>
            <w:r>
              <w:rPr>
                <w:rFonts w:ascii="仿宋" w:hAnsi="仿宋" w:eastAsia="仿宋" w:cs="仿宋"/>
                <w:sz w:val="21"/>
                <w:szCs w:val="21"/>
                <w:lang w:val="zh-TW" w:eastAsia="zh-TW"/>
              </w:rPr>
              <w:t>研究员</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37</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13511020338</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en-US"/>
              </w:rPr>
              <w:t>Xufei.mao@qq.com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tabs>
                <w:tab w:val="left" w:pos="536"/>
              </w:tabs>
              <w:jc w:val="center"/>
            </w:pPr>
            <w:r>
              <w:rPr>
                <w:rFonts w:ascii="仿宋" w:hAnsi="仿宋" w:eastAsia="仿宋" w:cs="仿宋"/>
                <w:sz w:val="21"/>
                <w:szCs w:val="21"/>
                <w:lang w:val="zh-TW" w:eastAsia="zh-TW"/>
              </w:rPr>
              <w:t>龙威林</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天津现代职业技术学院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新能源</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系主任</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34</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13072256310</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lwl_dragon@163.com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段峻</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陕西工业职业技术学院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rPr>
            </w:pPr>
            <w:r>
              <w:rPr>
                <w:rStyle w:val="15"/>
                <w:rFonts w:ascii="仿宋" w:hAnsi="仿宋" w:eastAsia="仿宋" w:cs="仿宋"/>
                <w:lang w:val="zh-TW" w:eastAsia="zh-TW"/>
              </w:rPr>
              <w:t>电子</w:t>
            </w:r>
          </w:p>
          <w:p>
            <w:pPr>
              <w:pStyle w:val="18"/>
              <w:framePr w:w="0" w:wrap="auto" w:vAnchor="margin" w:hAnchor="text" w:yAlign="inline"/>
              <w:jc w:val="center"/>
            </w:pPr>
            <w:r>
              <w:rPr>
                <w:rFonts w:ascii="仿宋" w:hAnsi="仿宋" w:eastAsia="仿宋" w:cs="仿宋"/>
                <w:lang w:val="zh-TW" w:eastAsia="zh-TW"/>
              </w:rPr>
              <w:t>信息</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系主任/副教授</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45</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18609201055</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372625644@qq.com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Fonts w:ascii="仿宋" w:hAnsi="仿宋" w:eastAsia="仿宋" w:cs="仿宋"/>
                <w:sz w:val="21"/>
                <w:szCs w:val="21"/>
                <w:lang w:val="zh-TW" w:eastAsia="zh-TW"/>
              </w:rPr>
              <w:t>杜辉</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8"/>
              <w:framePr w:w="0" w:wrap="auto" w:vAnchor="margin" w:hAnchor="text" w:yAlign="inline"/>
              <w:jc w:val="center"/>
            </w:pPr>
            <w:r>
              <w:rPr>
                <w:rFonts w:ascii="仿宋" w:hAnsi="仿宋" w:eastAsia="仿宋" w:cs="仿宋"/>
                <w:lang w:val="zh-TW" w:eastAsia="zh-TW"/>
              </w:rPr>
              <w:t>北京电子科技职业技术学院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8"/>
              <w:framePr w:w="0" w:wrap="auto" w:vAnchor="margin" w:hAnchor="text" w:yAlign="inline"/>
              <w:jc w:val="center"/>
            </w:pPr>
            <w:r>
              <w:rPr>
                <w:rFonts w:ascii="仿宋" w:hAnsi="仿宋" w:eastAsia="仿宋" w:cs="仿宋"/>
                <w:lang w:val="zh-TW" w:eastAsia="zh-TW"/>
              </w:rPr>
              <w:t>电子、嵌入式</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仿宋" w:hAnsi="仿宋" w:eastAsia="仿宋" w:cs="仿宋"/>
                <w:lang w:val="zh-TW" w:eastAsia="zh-TW"/>
              </w:rPr>
              <w:t>副教授</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Times New Roman" w:hAnsi="Times New Roman"/>
                <w:lang w:val="en-US"/>
              </w:rPr>
              <w:t>36</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Fonts w:ascii="Times New Roman" w:hAnsi="Times New Roman"/>
                <w:lang w:val="en-US"/>
              </w:rPr>
              <w:t>13910010163</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20"/>
                <w:rFonts w:ascii="Times New Roman" w:hAnsi="Times New Roman" w:eastAsia="Times New Roman" w:cs="Times New Roman"/>
                <w:lang w:val="en-US"/>
              </w:rPr>
              <w:fldChar w:fldCharType="begin"/>
            </w:r>
            <w:r>
              <w:rPr>
                <w:rStyle w:val="20"/>
                <w:rFonts w:ascii="Times New Roman" w:hAnsi="Times New Roman" w:eastAsia="Times New Roman" w:cs="Times New Roman"/>
                <w:lang w:val="en-US"/>
              </w:rPr>
              <w:instrText xml:space="preserve"> HYPERLINK "mailto:shibh@126.com"</w:instrText>
            </w:r>
            <w:r>
              <w:rPr>
                <w:rStyle w:val="20"/>
                <w:rFonts w:ascii="Times New Roman" w:hAnsi="Times New Roman" w:eastAsia="Times New Roman" w:cs="Times New Roman"/>
                <w:lang w:val="en-US"/>
              </w:rPr>
              <w:fldChar w:fldCharType="separate"/>
            </w:r>
            <w:r>
              <w:rPr>
                <w:rStyle w:val="20"/>
                <w:rFonts w:ascii="Times New Roman" w:hAnsi="Times New Roman"/>
                <w:lang w:val="en-US"/>
              </w:rPr>
              <w:t>xduhui</w:t>
            </w:r>
            <w:r>
              <w:rPr>
                <w:rStyle w:val="19"/>
                <w:rFonts w:ascii="Times New Roman" w:hAnsi="Times New Roman"/>
                <w:lang w:val="zh-TW" w:eastAsia="zh-TW"/>
              </w:rPr>
              <w:t>@126.com</w:t>
            </w:r>
            <w:r>
              <w:fldChar w:fldCharType="end"/>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tabs>
                <w:tab w:val="left" w:pos="536"/>
              </w:tabs>
              <w:jc w:val="center"/>
            </w:pPr>
            <w:r>
              <w:rPr>
                <w:rStyle w:val="19"/>
                <w:rFonts w:ascii="仿宋" w:hAnsi="仿宋" w:eastAsia="仿宋" w:cs="仿宋"/>
                <w:sz w:val="21"/>
                <w:szCs w:val="21"/>
                <w:lang w:val="zh-TW" w:eastAsia="zh-TW"/>
              </w:rPr>
              <w:t>许磊</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8"/>
              <w:framePr w:w="0" w:wrap="auto" w:vAnchor="margin" w:hAnchor="text" w:yAlign="inline"/>
              <w:jc w:val="center"/>
            </w:pPr>
            <w:r>
              <w:rPr>
                <w:rStyle w:val="19"/>
                <w:rFonts w:ascii="仿宋" w:hAnsi="仿宋" w:eastAsia="仿宋" w:cs="仿宋"/>
                <w:lang w:val="zh-TW" w:eastAsia="zh-TW"/>
              </w:rPr>
              <w:t>重庆电子工程职业技术学院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电子工程</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博士</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Times New Roman" w:hAnsi="Times New Roman"/>
                <w:lang w:val="zh-TW" w:eastAsia="zh-TW"/>
              </w:rPr>
              <w:t>34</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Times New Roman" w:hAnsi="Times New Roman"/>
                <w:lang w:val="zh-TW" w:eastAsia="zh-TW"/>
              </w:rPr>
              <w:t>13527476550</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21"/>
                <w:rFonts w:ascii="Times New Roman" w:hAnsi="Times New Roman" w:eastAsia="Times New Roman" w:cs="Times New Roman"/>
                <w:lang w:val="zh-TW" w:eastAsia="zh-TW"/>
              </w:rPr>
              <w:fldChar w:fldCharType="begin"/>
            </w:r>
            <w:r>
              <w:rPr>
                <w:rStyle w:val="21"/>
                <w:rFonts w:ascii="Times New Roman" w:hAnsi="Times New Roman" w:eastAsia="Times New Roman" w:cs="Times New Roman"/>
                <w:lang w:val="zh-TW" w:eastAsia="zh-TW"/>
              </w:rPr>
              <w:instrText xml:space="preserve"> HYPERLINK "mailto:shibh@126.com"</w:instrText>
            </w:r>
            <w:r>
              <w:rPr>
                <w:rStyle w:val="21"/>
                <w:rFonts w:ascii="Times New Roman" w:hAnsi="Times New Roman" w:eastAsia="Times New Roman" w:cs="Times New Roman"/>
                <w:lang w:val="zh-TW" w:eastAsia="zh-TW"/>
              </w:rPr>
              <w:fldChar w:fldCharType="separate"/>
            </w:r>
            <w:r>
              <w:rPr>
                <w:rStyle w:val="21"/>
                <w:rFonts w:ascii="Times New Roman" w:hAnsi="Times New Roman"/>
                <w:lang w:val="zh-TW" w:eastAsia="zh-TW"/>
              </w:rPr>
              <w:t>27736784@qq.com</w:t>
            </w:r>
            <w:r>
              <w:fldChar w:fldCharType="end"/>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杨功元</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新疆农业职业技术学院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计算机</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副院长/教授</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42</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13009602885</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13009602885@126.com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黄建华</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湖南理工职业技术学院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新能源</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系主任</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32</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18607908586</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51067762@qq.com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zh-TW" w:eastAsia="zh-TW"/>
              </w:rPr>
              <w:t>王新强</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天津中德职业技术学院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电子、物联网</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高级工程师</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20"/>
                <w:rFonts w:ascii="Times New Roman" w:hAnsi="Times New Roman"/>
                <w:lang w:val="en-US"/>
              </w:rPr>
              <w:t>35</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22"/>
                <w:rFonts w:ascii="仿宋" w:hAnsi="仿宋" w:eastAsia="仿宋" w:cs="仿宋"/>
                <w:lang w:val="en-US"/>
              </w:rPr>
              <w:t>13502076951</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22"/>
                <w:rFonts w:ascii="仿宋" w:hAnsi="仿宋" w:eastAsia="仿宋" w:cs="仿宋"/>
                <w:lang w:val="en-US"/>
              </w:rPr>
              <w:fldChar w:fldCharType="begin"/>
            </w:r>
            <w:r>
              <w:rPr>
                <w:rStyle w:val="22"/>
                <w:rFonts w:ascii="仿宋" w:hAnsi="仿宋" w:eastAsia="仿宋" w:cs="仿宋"/>
                <w:lang w:val="en-US"/>
              </w:rPr>
              <w:instrText xml:space="preserve"> HYPERLINK "mailto:Fqzhang@126.com"</w:instrText>
            </w:r>
            <w:r>
              <w:rPr>
                <w:rStyle w:val="22"/>
                <w:rFonts w:ascii="仿宋" w:hAnsi="仿宋" w:eastAsia="仿宋" w:cs="仿宋"/>
                <w:lang w:val="en-US"/>
              </w:rPr>
              <w:fldChar w:fldCharType="separate"/>
            </w:r>
            <w:r>
              <w:rPr>
                <w:rStyle w:val="22"/>
                <w:rFonts w:ascii="仿宋" w:hAnsi="仿宋" w:eastAsia="仿宋" w:cs="仿宋"/>
                <w:lang w:val="en-US"/>
              </w:rPr>
              <w:t>13502076951</w:t>
            </w:r>
            <w:r>
              <w:rPr>
                <w:rStyle w:val="20"/>
                <w:rFonts w:ascii="Times New Roman" w:hAnsi="Times New Roman"/>
                <w:lang w:val="en-US"/>
              </w:rPr>
              <w:t>@163.com</w:t>
            </w:r>
            <w:r>
              <w:fldChar w:fldCharType="end"/>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孙国军</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精工能源集团</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新能源</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高级工程师</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41</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13505755622</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22"/>
                <w:rFonts w:ascii="仿宋" w:hAnsi="仿宋" w:eastAsia="仿宋" w:cs="仿宋"/>
                <w:lang w:val="en-US"/>
              </w:rPr>
              <w:t>leaive78@163.com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易潮</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浙江瑞亚能源科技有限公司</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新能源</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总经理</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38</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13906529578</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1103623510@qq.com</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30" w:hRule="exact"/>
        </w:trPr>
        <w:tc>
          <w:tcPr>
            <w:tcW w:w="10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陆胜洁</w:t>
            </w:r>
          </w:p>
        </w:tc>
        <w:tc>
          <w:tcPr>
            <w:tcW w:w="135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浙江瑞亚能源科技有限公司</w:t>
            </w:r>
          </w:p>
        </w:tc>
        <w:tc>
          <w:tcPr>
            <w:tcW w:w="103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电子信息</w:t>
            </w:r>
          </w:p>
        </w:tc>
        <w:tc>
          <w:tcPr>
            <w:tcW w:w="15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副总经理</w:t>
            </w:r>
          </w:p>
        </w:tc>
        <w:tc>
          <w:tcPr>
            <w:tcW w:w="67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38</w:t>
            </w:r>
          </w:p>
        </w:tc>
        <w:tc>
          <w:tcPr>
            <w:tcW w:w="13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18600586766</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lang w:val="zh-TW" w:eastAsia="zh-TW"/>
              </w:rPr>
              <w:t>Lushengjie@rheaeco.com</w:t>
            </w:r>
          </w:p>
        </w:tc>
      </w:tr>
    </w:tbl>
    <w:p>
      <w:pPr>
        <w:pStyle w:val="2"/>
        <w:framePr w:w="0" w:wrap="auto" w:vAnchor="margin" w:hAnchor="text" w:yAlign="inline"/>
        <w:rPr>
          <w:rFonts w:hint="eastAsia"/>
          <w:lang w:val="en-US" w:eastAsia="zh-CN"/>
        </w:rPr>
      </w:pPr>
      <w:bookmarkStart w:id="11" w:name="_Toc11025"/>
      <w:r>
        <w:rPr>
          <w:rFonts w:hint="eastAsia"/>
          <w:lang w:val="en-US" w:eastAsia="zh-CN"/>
        </w:rPr>
        <w:t>三、</w:t>
      </w:r>
      <w:bookmarkStart w:id="12" w:name="_Toc6"/>
      <w:r>
        <w:rPr>
          <w:lang w:val="zh-TW" w:eastAsia="zh-TW"/>
        </w:rPr>
        <w:t>赛项目的</w:t>
      </w:r>
      <w:bookmarkEnd w:id="11"/>
      <w:bookmarkEnd w:id="12"/>
    </w:p>
    <w:p>
      <w:pPr>
        <w:framePr w:w="0" w:wrap="auto" w:vAnchor="margin" w:hAnchor="text" w:yAlign="inline"/>
        <w:numPr>
          <w:ilvl w:val="0"/>
          <w:numId w:val="0"/>
        </w:numPr>
        <w:spacing w:line="500" w:lineRule="exact"/>
        <w:ind w:leftChars="0" w:right="0" w:rightChars="0"/>
      </w:pPr>
      <w:r>
        <w:rPr>
          <w:rStyle w:val="14"/>
          <w:rFonts w:hint="eastAsia" w:eastAsia="宋体"/>
          <w:lang w:val="en-US" w:eastAsia="zh-CN"/>
        </w:rPr>
        <w:t xml:space="preserve">       </w:t>
      </w:r>
      <w:r>
        <w:rPr>
          <w:rStyle w:val="14"/>
          <w:lang w:val="en-US"/>
        </w:rPr>
        <w:t>“</w:t>
      </w:r>
      <w:r>
        <w:rPr>
          <w:rStyle w:val="19"/>
          <w:rFonts w:ascii="仿宋" w:hAnsi="仿宋" w:eastAsia="仿宋" w:cs="仿宋"/>
          <w:lang w:val="zh-TW" w:eastAsia="zh-TW"/>
        </w:rPr>
        <w:t>光伏电子工程的设计与实施</w:t>
      </w:r>
      <w:r>
        <w:rPr>
          <w:rStyle w:val="14"/>
          <w:lang w:val="en-US"/>
        </w:rPr>
        <w:t>”</w:t>
      </w:r>
      <w:r>
        <w:rPr>
          <w:rStyle w:val="19"/>
          <w:rFonts w:ascii="仿宋" w:hAnsi="仿宋" w:eastAsia="仿宋" w:cs="仿宋"/>
          <w:lang w:val="zh-TW" w:eastAsia="zh-TW"/>
        </w:rPr>
        <w:t>赛项利用成熟的智慧新能源系统实训平台，突出电子信息技术在光伏工程技术中的应用，由参赛选手根据任务书中提出的光伏工程系统规划描述，运用新能源电子技术、单片机、</w:t>
      </w:r>
      <w:r>
        <w:rPr>
          <w:rStyle w:val="14"/>
          <w:lang w:val="en-US"/>
        </w:rPr>
        <w:t>PLC</w:t>
      </w:r>
      <w:r>
        <w:rPr>
          <w:rStyle w:val="19"/>
          <w:rFonts w:ascii="仿宋" w:hAnsi="仿宋" w:eastAsia="仿宋" w:cs="仿宋"/>
          <w:lang w:val="zh-TW" w:eastAsia="zh-TW"/>
        </w:rPr>
        <w:t>编程、嵌入式系统开发等专业知识，完成模拟新能源项目从工程规划，到光伏电子工程系统设备安装，光伏电子控制模块开发与调试，管控系统设备安装，光伏电子工程系统运行调试，到区域能源分析规划等任务。</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光伏电子工程的设计与实施赛项旨在通过赛事的组织与推广，响应新技术革命和产业结构调整的需求，推进光伏工程技术、电子信息技术等战略新兴产业新能源领域专业的建设与发展，创造优质的教育供给环境，加快新能源产业亟需的高质量技术技能人才的培养。</w:t>
      </w:r>
    </w:p>
    <w:p>
      <w:pPr>
        <w:pStyle w:val="3"/>
        <w:framePr w:w="0" w:wrap="auto" w:vAnchor="margin" w:hAnchor="text" w:yAlign="inline"/>
        <w:spacing w:before="0" w:after="0" w:line="560" w:lineRule="exact"/>
        <w:ind w:firstLine="599"/>
        <w:jc w:val="left"/>
        <w:rPr>
          <w:rStyle w:val="19"/>
          <w:b w:val="0"/>
          <w:bCs w:val="0"/>
          <w:sz w:val="28"/>
          <w:szCs w:val="28"/>
        </w:rPr>
      </w:pPr>
      <w:bookmarkStart w:id="13" w:name="_Toc7"/>
      <w:bookmarkStart w:id="14" w:name="_Toc11887"/>
      <w:r>
        <w:rPr>
          <w:rStyle w:val="27"/>
          <w:b/>
          <w:bCs/>
          <w:lang w:val="en-US"/>
        </w:rPr>
        <w:t>(</w:t>
      </w:r>
      <w:r>
        <w:rPr>
          <w:rStyle w:val="27"/>
          <w:b/>
          <w:bCs/>
          <w:lang w:val="zh-TW" w:eastAsia="zh-TW"/>
        </w:rPr>
        <w:t>一</w:t>
      </w:r>
      <w:r>
        <w:rPr>
          <w:rStyle w:val="27"/>
          <w:b/>
          <w:bCs/>
          <w:lang w:val="en-US"/>
        </w:rPr>
        <w:t xml:space="preserve">) </w:t>
      </w:r>
      <w:r>
        <w:rPr>
          <w:rStyle w:val="27"/>
          <w:b/>
          <w:bCs/>
          <w:lang w:val="zh-TW" w:eastAsia="zh-TW"/>
        </w:rPr>
        <w:t>产学协同，以赛促教</w:t>
      </w:r>
      <w:r>
        <w:rPr>
          <w:rStyle w:val="19"/>
          <w:rFonts w:ascii="仿宋" w:hAnsi="仿宋" w:eastAsia="仿宋" w:cs="仿宋"/>
          <w:sz w:val="28"/>
          <w:szCs w:val="28"/>
          <w:lang w:val="en-US"/>
        </w:rPr>
        <w:t>——</w:t>
      </w:r>
      <w:r>
        <w:rPr>
          <w:rStyle w:val="19"/>
          <w:rFonts w:ascii="仿宋" w:hAnsi="仿宋" w:eastAsia="仿宋" w:cs="仿宋"/>
          <w:b w:val="0"/>
          <w:bCs w:val="0"/>
          <w:sz w:val="28"/>
          <w:szCs w:val="28"/>
          <w:lang w:val="zh-TW" w:eastAsia="zh-TW"/>
        </w:rPr>
        <w:t>深入贯彻落实国家关于实现能源革命的战略部署，践行产业结构调整驱动专业设置与改革机制</w:t>
      </w:r>
      <w:bookmarkEnd w:id="13"/>
      <w:bookmarkEnd w:id="14"/>
    </w:p>
    <w:p>
      <w:pPr>
        <w:framePr w:w="0" w:wrap="auto" w:vAnchor="margin" w:hAnchor="text" w:yAlign="inline"/>
        <w:spacing w:line="500" w:lineRule="exact"/>
        <w:ind w:firstLine="560"/>
      </w:pPr>
      <w:r>
        <w:rPr>
          <w:rStyle w:val="19"/>
          <w:rFonts w:ascii="仿宋" w:hAnsi="仿宋" w:eastAsia="仿宋" w:cs="仿宋"/>
          <w:lang w:val="zh-TW" w:eastAsia="zh-TW"/>
        </w:rPr>
        <w:t>我国是世界最大的能源生产国和消费国，面对日趋严峻的能源供给制约等现状，新能源已成为被世界各国所认同的可同时解决金融危机与气候危机的战略性支点。国家持续出台了《国家能源发展战略行动计划（</w:t>
      </w:r>
      <w:r>
        <w:rPr>
          <w:rStyle w:val="14"/>
          <w:lang w:val="en-US"/>
        </w:rPr>
        <w:t>2014-2020</w:t>
      </w:r>
      <w:r>
        <w:rPr>
          <w:rStyle w:val="19"/>
          <w:rFonts w:ascii="仿宋" w:hAnsi="仿宋" w:eastAsia="仿宋" w:cs="仿宋"/>
          <w:lang w:val="zh-TW" w:eastAsia="zh-TW"/>
        </w:rPr>
        <w:t>年）》等战略性指导纲领，三部委亦联合印发了《关于推进</w:t>
      </w:r>
      <w:r>
        <w:rPr>
          <w:rStyle w:val="14"/>
          <w:lang w:val="en-US"/>
        </w:rPr>
        <w:t>“</w:t>
      </w:r>
      <w:r>
        <w:rPr>
          <w:rStyle w:val="19"/>
          <w:rFonts w:ascii="仿宋" w:hAnsi="仿宋" w:eastAsia="仿宋" w:cs="仿宋"/>
          <w:lang w:val="zh-TW" w:eastAsia="zh-TW"/>
        </w:rPr>
        <w:t>互联网</w:t>
      </w:r>
      <w:r>
        <w:rPr>
          <w:rStyle w:val="14"/>
          <w:lang w:val="en-US"/>
        </w:rPr>
        <w:t>+”</w:t>
      </w:r>
      <w:r>
        <w:rPr>
          <w:rStyle w:val="19"/>
          <w:rFonts w:ascii="仿宋" w:hAnsi="仿宋" w:eastAsia="仿宋" w:cs="仿宋"/>
          <w:lang w:val="zh-TW" w:eastAsia="zh-TW"/>
        </w:rPr>
        <w:t>智慧能源发展的指导意见》，其意涵在于大力培育新兴产业，推动能源互联网新技术、新模式、新业态的兴起。</w:t>
      </w:r>
    </w:p>
    <w:p>
      <w:pPr>
        <w:framePr w:w="0" w:wrap="auto" w:vAnchor="margin" w:hAnchor="text" w:yAlign="inline"/>
        <w:spacing w:line="500" w:lineRule="exact"/>
        <w:ind w:firstLine="560"/>
      </w:pPr>
      <w:r>
        <w:rPr>
          <w:rStyle w:val="19"/>
          <w:rFonts w:ascii="仿宋" w:hAnsi="仿宋" w:eastAsia="仿宋" w:cs="仿宋"/>
          <w:lang w:val="zh-TW" w:eastAsia="zh-TW"/>
        </w:rPr>
        <w:t>光伏电子工程的设计与实施赛项的申办，将充分发挥赛项引导效应，践行产业结构调整驱动院校专业设置与改革机制，推进院校</w:t>
      </w:r>
      <w:r>
        <w:rPr>
          <w:rStyle w:val="14"/>
          <w:lang w:val="en-US"/>
        </w:rPr>
        <w:t>“</w:t>
      </w:r>
      <w:r>
        <w:rPr>
          <w:rStyle w:val="19"/>
          <w:rFonts w:ascii="仿宋" w:hAnsi="仿宋" w:eastAsia="仿宋" w:cs="仿宋"/>
          <w:lang w:val="zh-TW" w:eastAsia="zh-TW"/>
        </w:rPr>
        <w:t>光伏工程技术</w:t>
      </w:r>
      <w:r>
        <w:rPr>
          <w:rStyle w:val="14"/>
          <w:lang w:val="en-US"/>
        </w:rPr>
        <w:t>”</w:t>
      </w:r>
      <w:r>
        <w:rPr>
          <w:rStyle w:val="19"/>
          <w:rFonts w:ascii="仿宋" w:hAnsi="仿宋" w:eastAsia="仿宋" w:cs="仿宋"/>
          <w:lang w:val="zh-TW" w:eastAsia="zh-TW"/>
        </w:rPr>
        <w:t>等新兴专业的开发建设；充分发挥大赛产学协同的桥梁作用，指引院校的布局结构、专业设置与国家战略产业、区域产业发展的结合更为紧密契合；探索现代职业教育体系新能源领域专业人才培养</w:t>
      </w:r>
      <w:r>
        <w:rPr>
          <w:rStyle w:val="14"/>
          <w:lang w:val="en-US"/>
        </w:rPr>
        <w:t>“</w:t>
      </w:r>
      <w:r>
        <w:rPr>
          <w:rStyle w:val="19"/>
          <w:rFonts w:ascii="仿宋" w:hAnsi="仿宋" w:eastAsia="仿宋" w:cs="仿宋"/>
          <w:lang w:val="zh-TW" w:eastAsia="zh-TW"/>
        </w:rPr>
        <w:t>立交桥</w:t>
      </w:r>
      <w:r>
        <w:rPr>
          <w:rStyle w:val="14"/>
          <w:lang w:val="en-US"/>
        </w:rPr>
        <w:t>”</w:t>
      </w:r>
      <w:r>
        <w:rPr>
          <w:rStyle w:val="19"/>
          <w:rFonts w:ascii="仿宋" w:hAnsi="仿宋" w:eastAsia="仿宋" w:cs="仿宋"/>
          <w:lang w:val="zh-TW" w:eastAsia="zh-TW"/>
        </w:rPr>
        <w:t>的搭建途径，加快满足新能源产业社会建设与社会管理的技术技能型人才培养。</w:t>
      </w:r>
    </w:p>
    <w:p>
      <w:pPr>
        <w:pStyle w:val="3"/>
        <w:framePr w:w="0" w:wrap="auto" w:vAnchor="margin" w:hAnchor="text" w:yAlign="inline"/>
        <w:spacing w:before="0" w:after="0" w:line="560" w:lineRule="exact"/>
        <w:ind w:firstLine="602"/>
        <w:jc w:val="left"/>
        <w:rPr>
          <w:rStyle w:val="19"/>
          <w:b w:val="0"/>
          <w:bCs w:val="0"/>
          <w:sz w:val="28"/>
          <w:szCs w:val="28"/>
        </w:rPr>
      </w:pPr>
      <w:bookmarkStart w:id="15" w:name="_Toc9189"/>
      <w:bookmarkStart w:id="16" w:name="_Toc8"/>
      <w:r>
        <w:rPr>
          <w:rStyle w:val="27"/>
          <w:b/>
          <w:bCs/>
          <w:lang w:val="zh-TW" w:eastAsia="zh-TW"/>
        </w:rPr>
        <w:t>（二）</w:t>
      </w:r>
      <w:r>
        <w:rPr>
          <w:rStyle w:val="27"/>
          <w:b/>
          <w:bCs/>
          <w:lang w:val="en-US"/>
        </w:rPr>
        <w:t xml:space="preserve"> </w:t>
      </w:r>
      <w:r>
        <w:rPr>
          <w:rStyle w:val="27"/>
          <w:b/>
          <w:bCs/>
          <w:lang w:val="zh-TW" w:eastAsia="zh-TW"/>
        </w:rPr>
        <w:t>教学为本，提质增效</w:t>
      </w:r>
      <w:r>
        <w:rPr>
          <w:rStyle w:val="19"/>
          <w:rFonts w:ascii="仿宋" w:hAnsi="仿宋" w:eastAsia="仿宋" w:cs="仿宋"/>
          <w:sz w:val="28"/>
          <w:szCs w:val="28"/>
          <w:lang w:val="en-US"/>
        </w:rPr>
        <w:t>——</w:t>
      </w:r>
      <w:r>
        <w:rPr>
          <w:rStyle w:val="19"/>
          <w:rFonts w:ascii="仿宋" w:hAnsi="仿宋" w:eastAsia="仿宋" w:cs="仿宋"/>
          <w:b w:val="0"/>
          <w:bCs w:val="0"/>
          <w:sz w:val="28"/>
          <w:szCs w:val="28"/>
          <w:lang w:val="zh-TW" w:eastAsia="zh-TW"/>
        </w:rPr>
        <w:t>紧扣产业核心技能与核心知识，推进新能源领域新兴专业的建设与发展</w:t>
      </w:r>
      <w:bookmarkEnd w:id="15"/>
      <w:bookmarkEnd w:id="16"/>
    </w:p>
    <w:p>
      <w:pPr>
        <w:framePr w:w="0" w:wrap="auto" w:vAnchor="margin" w:hAnchor="text" w:yAlign="inline"/>
        <w:spacing w:line="500" w:lineRule="exact"/>
        <w:ind w:firstLine="560"/>
        <w:rPr>
          <w:rStyle w:val="19"/>
          <w:rFonts w:ascii="仿宋" w:hAnsi="仿宋" w:eastAsia="仿宋" w:cs="仿宋"/>
        </w:rPr>
      </w:pPr>
      <w:r>
        <w:rPr>
          <w:rStyle w:val="22"/>
          <w:rFonts w:ascii="仿宋" w:hAnsi="仿宋" w:eastAsia="仿宋" w:cs="仿宋"/>
          <w:lang w:val="en-US"/>
        </w:rPr>
        <w:t>“</w:t>
      </w:r>
      <w:r>
        <w:rPr>
          <w:rStyle w:val="19"/>
          <w:rFonts w:ascii="仿宋" w:hAnsi="仿宋" w:eastAsia="仿宋" w:cs="仿宋"/>
          <w:lang w:val="zh-TW" w:eastAsia="zh-TW"/>
        </w:rPr>
        <w:t>光伏电子工程的设计与实施</w:t>
      </w:r>
      <w:r>
        <w:rPr>
          <w:rStyle w:val="22"/>
          <w:rFonts w:ascii="仿宋" w:hAnsi="仿宋" w:eastAsia="仿宋" w:cs="仿宋"/>
          <w:lang w:val="en-US"/>
        </w:rPr>
        <w:t>”</w:t>
      </w:r>
      <w:r>
        <w:rPr>
          <w:rStyle w:val="19"/>
          <w:rFonts w:ascii="仿宋" w:hAnsi="仿宋" w:eastAsia="仿宋" w:cs="仿宋"/>
          <w:lang w:val="zh-TW" w:eastAsia="zh-TW"/>
        </w:rPr>
        <w:t>赛项设计基于新常态下对于光伏电子工程领域技术技能型人才的用人模型及层次，解析核心技能为对于工程项目规划设计能力、工程项目系统的运维能力以及工程项目设备实施部署能力，其综合考核了对于光伏电子工程设计方案的实现能力、对于光伏电子工程中的供能、储能、智能控制及负载装置的选型与实施部署；对于储能管理、能源综合利用、能源规划等应用系统的开发、调试与检测；其核心的知识点涵盖了光伏电子工程项目的系统架构、组成及实现原理；分布式新能源项目的智能控制技术、新能源电源变换技术、电子电力技术、数模电技术知识；以及单片机、嵌入式技术知识。</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赛项通过对于产业发展趋势与关键技术的细研，剖析技术经济变革时期产业核心竞争力与发展力</w:t>
      </w:r>
      <w:r>
        <w:rPr>
          <w:rStyle w:val="22"/>
          <w:rFonts w:ascii="仿宋" w:hAnsi="仿宋" w:eastAsia="仿宋" w:cs="仿宋"/>
          <w:lang w:val="en-US"/>
        </w:rPr>
        <w:t>,</w:t>
      </w:r>
      <w:r>
        <w:rPr>
          <w:rStyle w:val="19"/>
          <w:rFonts w:ascii="仿宋" w:hAnsi="仿宋" w:eastAsia="仿宋" w:cs="仿宋"/>
          <w:lang w:val="zh-TW" w:eastAsia="zh-TW"/>
        </w:rPr>
        <w:t>切实回归产业岗位的原点提炼核心技能与核心知识反映至上述赛项内容设计中，以教学为本的科学理念开发赛项资源，以期通过赛项引导对于产业需求的真实认知，提升新兴专业开发定位的准确性，以及资源建设的高质高效性。</w:t>
      </w:r>
    </w:p>
    <w:p>
      <w:pPr>
        <w:pStyle w:val="3"/>
        <w:framePr w:w="0" w:wrap="auto" w:vAnchor="margin" w:hAnchor="text" w:yAlign="inline"/>
        <w:spacing w:before="0" w:after="0" w:line="560" w:lineRule="exact"/>
        <w:ind w:firstLine="602"/>
        <w:jc w:val="left"/>
        <w:rPr>
          <w:rStyle w:val="19"/>
          <w:b w:val="0"/>
          <w:bCs w:val="0"/>
          <w:sz w:val="28"/>
          <w:szCs w:val="28"/>
        </w:rPr>
      </w:pPr>
      <w:bookmarkStart w:id="17" w:name="_Toc9"/>
      <w:bookmarkStart w:id="18" w:name="_Toc29371"/>
      <w:r>
        <w:rPr>
          <w:rStyle w:val="27"/>
          <w:b/>
          <w:bCs/>
          <w:lang w:val="zh-TW" w:eastAsia="zh-TW"/>
        </w:rPr>
        <w:t>（三）</w:t>
      </w:r>
      <w:r>
        <w:rPr>
          <w:rStyle w:val="27"/>
          <w:b/>
          <w:bCs/>
          <w:lang w:val="en-US"/>
        </w:rPr>
        <w:t xml:space="preserve"> </w:t>
      </w:r>
      <w:r>
        <w:rPr>
          <w:rStyle w:val="27"/>
          <w:b/>
          <w:bCs/>
          <w:lang w:val="zh-TW" w:eastAsia="zh-TW"/>
        </w:rPr>
        <w:t>融合创新，引领跨越</w:t>
      </w:r>
      <w:r>
        <w:rPr>
          <w:rStyle w:val="19"/>
          <w:rFonts w:ascii="仿宋" w:hAnsi="仿宋" w:eastAsia="仿宋" w:cs="仿宋"/>
          <w:sz w:val="28"/>
          <w:szCs w:val="28"/>
          <w:lang w:val="en-US"/>
        </w:rPr>
        <w:t>——</w:t>
      </w:r>
      <w:r>
        <w:rPr>
          <w:rStyle w:val="19"/>
          <w:rFonts w:ascii="仿宋" w:hAnsi="仿宋" w:eastAsia="仿宋" w:cs="仿宋"/>
          <w:b w:val="0"/>
          <w:bCs w:val="0"/>
          <w:sz w:val="28"/>
          <w:szCs w:val="28"/>
          <w:lang w:val="zh-TW" w:eastAsia="zh-TW"/>
        </w:rPr>
        <w:t>探索院校与行业企业共同推进新兴领域技术技能积累创新的方式与机制构建</w:t>
      </w:r>
      <w:bookmarkEnd w:id="17"/>
      <w:bookmarkEnd w:id="18"/>
    </w:p>
    <w:p>
      <w:pPr>
        <w:framePr w:w="0" w:wrap="auto" w:vAnchor="margin" w:hAnchor="text" w:yAlign="inline"/>
        <w:spacing w:line="500" w:lineRule="exact"/>
        <w:ind w:firstLine="560"/>
        <w:rPr>
          <w:rStyle w:val="19"/>
          <w:rFonts w:ascii="仿宋" w:hAnsi="仿宋" w:eastAsia="仿宋" w:cs="仿宋"/>
          <w:lang w:val="zh-TW" w:eastAsia="zh-TW"/>
        </w:rPr>
      </w:pPr>
      <w:r>
        <w:rPr>
          <w:rStyle w:val="22"/>
          <w:rFonts w:ascii="仿宋" w:hAnsi="仿宋" w:eastAsia="仿宋" w:cs="仿宋"/>
          <w:lang w:val="en-US"/>
        </w:rPr>
        <w:t>“</w:t>
      </w:r>
      <w:r>
        <w:rPr>
          <w:rStyle w:val="19"/>
          <w:rFonts w:ascii="仿宋" w:hAnsi="仿宋" w:eastAsia="仿宋" w:cs="仿宋"/>
          <w:lang w:val="zh-TW" w:eastAsia="zh-TW"/>
        </w:rPr>
        <w:t>光伏电子工程的设计与实施</w:t>
      </w:r>
      <w:r>
        <w:rPr>
          <w:rStyle w:val="22"/>
          <w:rFonts w:ascii="仿宋" w:hAnsi="仿宋" w:eastAsia="仿宋" w:cs="仿宋"/>
          <w:lang w:val="en-US"/>
        </w:rPr>
        <w:t>”</w:t>
      </w:r>
      <w:r>
        <w:rPr>
          <w:rStyle w:val="19"/>
          <w:rFonts w:ascii="仿宋" w:hAnsi="仿宋" w:eastAsia="仿宋" w:cs="仿宋"/>
          <w:lang w:val="zh-TW" w:eastAsia="zh-TW"/>
        </w:rPr>
        <w:t>赛项是典型由院校和行业企业在资深教学专家、机构的指导下，产学研共同开发而成。探索了面对新常态的挑战，产教如何通过多层次多维度的深度融合，有效解决新兴产业用人需求与职业教育供给侧改革的高度契合途径。旨在通过赛项的组织，共研基于</w:t>
      </w:r>
      <w:r>
        <w:rPr>
          <w:rStyle w:val="22"/>
          <w:rFonts w:ascii="仿宋" w:hAnsi="仿宋" w:eastAsia="仿宋" w:cs="仿宋"/>
          <w:lang w:val="en-US"/>
        </w:rPr>
        <w:t>“</w:t>
      </w:r>
      <w:r>
        <w:rPr>
          <w:rStyle w:val="19"/>
          <w:rFonts w:ascii="仿宋" w:hAnsi="仿宋" w:eastAsia="仿宋" w:cs="仿宋"/>
          <w:lang w:val="zh-TW" w:eastAsia="zh-TW"/>
        </w:rPr>
        <w:t>光伏工程技术</w:t>
      </w:r>
      <w:r>
        <w:rPr>
          <w:rStyle w:val="22"/>
          <w:rFonts w:ascii="仿宋" w:hAnsi="仿宋" w:eastAsia="仿宋" w:cs="仿宋"/>
          <w:lang w:val="en-US"/>
        </w:rPr>
        <w:t>+</w:t>
      </w:r>
      <w:r>
        <w:rPr>
          <w:rStyle w:val="19"/>
          <w:rFonts w:ascii="仿宋" w:hAnsi="仿宋" w:eastAsia="仿宋" w:cs="仿宋"/>
          <w:lang w:val="zh-TW" w:eastAsia="zh-TW"/>
        </w:rPr>
        <w:t>电子信息工程</w:t>
      </w:r>
      <w:r>
        <w:rPr>
          <w:rStyle w:val="22"/>
          <w:rFonts w:ascii="仿宋" w:hAnsi="仿宋" w:eastAsia="仿宋" w:cs="仿宋"/>
          <w:lang w:val="en-US"/>
        </w:rPr>
        <w:t>”</w:t>
      </w:r>
      <w:r>
        <w:rPr>
          <w:rStyle w:val="19"/>
          <w:rFonts w:ascii="仿宋" w:hAnsi="仿宋" w:eastAsia="仿宋" w:cs="仿宋"/>
          <w:lang w:val="zh-TW" w:eastAsia="zh-TW"/>
        </w:rPr>
        <w:t>这一跨界交叉领域创新平台，院校与行业企业如何共同协作，在人才培养的同时提升教师能力、提高专业的技术协同服务能力的方式与机制构建。</w:t>
      </w:r>
    </w:p>
    <w:p>
      <w:pPr>
        <w:pStyle w:val="2"/>
        <w:framePr w:w="0" w:wrap="auto" w:vAnchor="margin" w:hAnchor="text" w:yAlign="inline"/>
        <w:rPr>
          <w:lang w:val="zh-TW" w:eastAsia="zh-TW"/>
        </w:rPr>
      </w:pPr>
      <w:bookmarkStart w:id="19" w:name="_Toc11970"/>
      <w:bookmarkStart w:id="20" w:name="_Toc10"/>
      <w:r>
        <w:rPr>
          <w:rFonts w:hint="eastAsia"/>
          <w:lang w:val="zh-TW" w:eastAsia="zh-CN"/>
        </w:rPr>
        <w:t>四、</w:t>
      </w:r>
      <w:r>
        <w:rPr>
          <w:lang w:val="zh-TW" w:eastAsia="zh-TW"/>
        </w:rPr>
        <w:t>赛项设计原则</w:t>
      </w:r>
      <w:bookmarkEnd w:id="19"/>
      <w:bookmarkEnd w:id="20"/>
    </w:p>
    <w:p>
      <w:pPr>
        <w:pStyle w:val="3"/>
        <w:keepNext/>
        <w:keepLines/>
        <w:pageBreakBefore w:val="0"/>
        <w:framePr w:w="0" w:wrap="auto" w:vAnchor="margin" w:hAnchor="text" w:yAlign="inline"/>
        <w:widowControl w:val="0"/>
        <w:kinsoku/>
        <w:wordWrap/>
        <w:overflowPunct/>
        <w:topLinePunct w:val="0"/>
        <w:autoSpaceDE/>
        <w:autoSpaceDN/>
        <w:bidi w:val="0"/>
        <w:adjustRightInd/>
        <w:snapToGrid/>
        <w:spacing w:before="260" w:after="0" w:line="416" w:lineRule="auto"/>
        <w:ind w:left="0" w:leftChars="0" w:right="0" w:rightChars="0" w:firstLine="0" w:firstLineChars="0"/>
        <w:jc w:val="both"/>
        <w:textAlignment w:val="auto"/>
        <w:outlineLvl w:val="1"/>
        <w:rPr>
          <w:rStyle w:val="15"/>
          <w:sz w:val="28"/>
          <w:szCs w:val="28"/>
          <w:lang w:val="zh-TW" w:eastAsia="zh-TW"/>
        </w:rPr>
      </w:pPr>
      <w:bookmarkStart w:id="21" w:name="_Toc11"/>
      <w:bookmarkStart w:id="22" w:name="_Toc7812"/>
      <w:r>
        <w:rPr>
          <w:rStyle w:val="19"/>
          <w:rFonts w:ascii="仿宋" w:hAnsi="仿宋" w:eastAsia="仿宋" w:cs="仿宋"/>
          <w:sz w:val="28"/>
          <w:szCs w:val="28"/>
          <w:lang w:val="zh-TW" w:eastAsia="zh-TW"/>
        </w:rPr>
        <w:t>（一）赛项设计坚持公开、公平、公正原则</w:t>
      </w:r>
      <w:bookmarkEnd w:id="21"/>
      <w:bookmarkEnd w:id="22"/>
    </w:p>
    <w:p>
      <w:pPr>
        <w:framePr w:w="0" w:wrap="auto" w:vAnchor="margin" w:hAnchor="text" w:yAlign="inline"/>
        <w:spacing w:line="500" w:lineRule="exact"/>
        <w:ind w:firstLine="560"/>
        <w:rPr>
          <w:rStyle w:val="19"/>
          <w:rFonts w:ascii="仿宋" w:hAnsi="仿宋" w:eastAsia="仿宋" w:cs="仿宋"/>
          <w:sz w:val="28"/>
          <w:szCs w:val="28"/>
        </w:rPr>
      </w:pPr>
      <w:r>
        <w:rPr>
          <w:rStyle w:val="22"/>
          <w:rFonts w:ascii="仿宋" w:hAnsi="仿宋" w:eastAsia="仿宋" w:cs="仿宋"/>
          <w:sz w:val="28"/>
          <w:szCs w:val="28"/>
          <w:lang w:val="en-US"/>
        </w:rPr>
        <w:t xml:space="preserve"> </w:t>
      </w:r>
      <w:r>
        <w:rPr>
          <w:rStyle w:val="19"/>
          <w:rFonts w:ascii="仿宋" w:hAnsi="仿宋" w:eastAsia="仿宋" w:cs="仿宋"/>
          <w:sz w:val="28"/>
          <w:szCs w:val="28"/>
          <w:lang w:val="zh-TW" w:eastAsia="zh-TW"/>
        </w:rPr>
        <w:t>赛项全程严格遵循赛项全程严格遵循《全国职业院校技能大赛制度汇编》要求，以开放、透明的理念贯穿赛事设计、组织、运维全程，严格规范赛项各项管理制度</w:t>
      </w:r>
      <w:r>
        <w:rPr>
          <w:rStyle w:val="22"/>
          <w:rFonts w:ascii="仿宋" w:hAnsi="仿宋" w:eastAsia="仿宋" w:cs="仿宋"/>
          <w:sz w:val="28"/>
          <w:szCs w:val="28"/>
          <w:lang w:val="en-US"/>
        </w:rPr>
        <w:t>:</w:t>
      </w:r>
    </w:p>
    <w:p>
      <w:pPr>
        <w:framePr w:w="0" w:wrap="auto" w:vAnchor="margin" w:hAnchor="text" w:yAlign="inline"/>
        <w:spacing w:line="500" w:lineRule="exact"/>
        <w:ind w:firstLine="560"/>
        <w:rPr>
          <w:rStyle w:val="19"/>
          <w:rFonts w:ascii="仿宋" w:hAnsi="仿宋" w:eastAsia="仿宋" w:cs="仿宋"/>
          <w:sz w:val="28"/>
          <w:szCs w:val="28"/>
        </w:rPr>
      </w:pPr>
      <w:r>
        <w:rPr>
          <w:rStyle w:val="22"/>
          <w:rFonts w:ascii="仿宋" w:hAnsi="仿宋" w:eastAsia="仿宋" w:cs="仿宋"/>
          <w:sz w:val="28"/>
          <w:szCs w:val="28"/>
          <w:lang w:val="en-US"/>
        </w:rPr>
        <w:t>1.</w:t>
      </w:r>
      <w:r>
        <w:rPr>
          <w:rStyle w:val="19"/>
          <w:rFonts w:ascii="仿宋" w:hAnsi="仿宋" w:eastAsia="仿宋" w:cs="仿宋"/>
          <w:sz w:val="28"/>
          <w:szCs w:val="28"/>
          <w:lang w:val="zh-TW" w:eastAsia="zh-TW"/>
        </w:rPr>
        <w:t>赛题公开：开赛前两个月将公开赛题于大赛网络信息发布平台上；</w:t>
      </w:r>
    </w:p>
    <w:p>
      <w:pPr>
        <w:framePr w:w="0" w:wrap="auto" w:vAnchor="margin" w:hAnchor="text" w:yAlign="inline"/>
        <w:spacing w:line="500" w:lineRule="exact"/>
        <w:ind w:firstLine="560"/>
        <w:rPr>
          <w:rStyle w:val="19"/>
          <w:rFonts w:ascii="仿宋" w:hAnsi="仿宋" w:eastAsia="仿宋" w:cs="仿宋"/>
          <w:sz w:val="28"/>
          <w:szCs w:val="28"/>
        </w:rPr>
      </w:pPr>
      <w:r>
        <w:rPr>
          <w:rStyle w:val="22"/>
          <w:rFonts w:ascii="仿宋" w:hAnsi="仿宋" w:eastAsia="仿宋" w:cs="仿宋"/>
          <w:sz w:val="28"/>
          <w:szCs w:val="28"/>
          <w:lang w:val="en-US"/>
        </w:rPr>
        <w:t>2.</w:t>
      </w:r>
      <w:r>
        <w:rPr>
          <w:rStyle w:val="19"/>
          <w:rFonts w:ascii="仿宋" w:hAnsi="仿宋" w:eastAsia="仿宋" w:cs="仿宋"/>
          <w:sz w:val="28"/>
          <w:szCs w:val="28"/>
          <w:lang w:val="zh-TW" w:eastAsia="zh-TW"/>
        </w:rPr>
        <w:t>赛项组织层层加密，杜绝裁判过程倾向性，保证赛项工作规范化、专业化与科学化；</w:t>
      </w:r>
    </w:p>
    <w:p>
      <w:pPr>
        <w:framePr w:w="0" w:wrap="auto" w:vAnchor="margin" w:hAnchor="text" w:yAlign="inline"/>
        <w:spacing w:line="500" w:lineRule="exact"/>
        <w:ind w:firstLine="560"/>
        <w:rPr>
          <w:rStyle w:val="19"/>
          <w:rFonts w:ascii="仿宋" w:hAnsi="仿宋" w:eastAsia="仿宋" w:cs="仿宋"/>
          <w:sz w:val="28"/>
          <w:szCs w:val="28"/>
        </w:rPr>
      </w:pPr>
      <w:r>
        <w:rPr>
          <w:rStyle w:val="22"/>
          <w:rFonts w:ascii="仿宋" w:hAnsi="仿宋" w:eastAsia="仿宋" w:cs="仿宋"/>
          <w:sz w:val="28"/>
          <w:szCs w:val="28"/>
          <w:lang w:val="en-US"/>
        </w:rPr>
        <w:t>3.</w:t>
      </w:r>
      <w:r>
        <w:rPr>
          <w:rStyle w:val="19"/>
          <w:rFonts w:ascii="仿宋" w:hAnsi="仿宋" w:eastAsia="仿宋" w:cs="仿宋"/>
          <w:sz w:val="28"/>
          <w:szCs w:val="28"/>
          <w:lang w:val="zh-TW" w:eastAsia="zh-TW"/>
        </w:rPr>
        <w:t>赛项监督组对竞赛筹备与组织工作实施全程现场监督。</w:t>
      </w:r>
    </w:p>
    <w:p>
      <w:pPr>
        <w:pStyle w:val="3"/>
        <w:framePr w:w="0" w:wrap="auto" w:vAnchor="margin" w:hAnchor="text" w:yAlign="inline"/>
        <w:rPr>
          <w:rStyle w:val="15"/>
          <w:sz w:val="28"/>
          <w:szCs w:val="28"/>
          <w:lang w:val="zh-TW" w:eastAsia="zh-TW"/>
        </w:rPr>
      </w:pPr>
      <w:bookmarkStart w:id="23" w:name="_Toc19308"/>
      <w:bookmarkStart w:id="24" w:name="_Toc12"/>
      <w:r>
        <w:rPr>
          <w:rStyle w:val="19"/>
          <w:rFonts w:ascii="仿宋" w:hAnsi="仿宋" w:eastAsia="仿宋" w:cs="仿宋"/>
          <w:sz w:val="28"/>
          <w:szCs w:val="28"/>
          <w:lang w:val="zh-TW" w:eastAsia="zh-TW"/>
        </w:rPr>
        <w:t>（二）赛项设计坚持服务产业转型升级，高度匹配产业广泛用人需求及扎实专业基础原则</w:t>
      </w:r>
      <w:bookmarkEnd w:id="23"/>
      <w:bookmarkEnd w:id="24"/>
    </w:p>
    <w:p>
      <w:pPr>
        <w:framePr w:w="0" w:wrap="auto" w:vAnchor="margin" w:hAnchor="text" w:yAlign="inline"/>
        <w:spacing w:line="500" w:lineRule="exact"/>
        <w:ind w:firstLine="560"/>
        <w:rPr>
          <w:rStyle w:val="19"/>
          <w:rFonts w:ascii="仿宋" w:hAnsi="仿宋" w:eastAsia="仿宋" w:cs="仿宋"/>
          <w:sz w:val="28"/>
          <w:szCs w:val="28"/>
        </w:rPr>
      </w:pPr>
      <w:r>
        <w:rPr>
          <w:rStyle w:val="19"/>
          <w:rFonts w:ascii="仿宋" w:hAnsi="仿宋" w:eastAsia="仿宋" w:cs="仿宋"/>
          <w:sz w:val="28"/>
          <w:szCs w:val="28"/>
          <w:lang w:val="zh-TW" w:eastAsia="zh-TW"/>
        </w:rPr>
        <w:t>新能源产业作为具有显著技术扩散和经济乘数效应的产业集群，其关联职业岗位面广，人才需求量大，其产业技术领域广泛，涵括于工程实施与管理、应用系统（产品）开发、工程项目运维以及营销商务领域；其主要职业岗位涉及到项目调研专员、新能源工程现场管理员、新能源工程项目施工员、新能源应用系统（产品）程序员、测试员、运维检测技术员等。在国家重点推进</w:t>
      </w:r>
      <w:r>
        <w:rPr>
          <w:rStyle w:val="22"/>
          <w:rFonts w:ascii="仿宋" w:hAnsi="仿宋" w:eastAsia="仿宋" w:cs="仿宋"/>
          <w:sz w:val="28"/>
          <w:szCs w:val="28"/>
          <w:lang w:val="en-US"/>
        </w:rPr>
        <w:t>“</w:t>
      </w:r>
      <w:r>
        <w:rPr>
          <w:rStyle w:val="19"/>
          <w:rFonts w:ascii="仿宋" w:hAnsi="仿宋" w:eastAsia="仿宋" w:cs="仿宋"/>
          <w:sz w:val="28"/>
          <w:szCs w:val="28"/>
          <w:lang w:val="zh-TW" w:eastAsia="zh-TW"/>
        </w:rPr>
        <w:t>互联网</w:t>
      </w:r>
      <w:r>
        <w:rPr>
          <w:rStyle w:val="22"/>
          <w:rFonts w:ascii="仿宋" w:hAnsi="仿宋" w:eastAsia="仿宋" w:cs="仿宋"/>
          <w:sz w:val="28"/>
          <w:szCs w:val="28"/>
          <w:lang w:val="en-US"/>
        </w:rPr>
        <w:t>+</w:t>
      </w:r>
      <w:r>
        <w:rPr>
          <w:rStyle w:val="19"/>
          <w:rFonts w:ascii="仿宋" w:hAnsi="仿宋" w:eastAsia="仿宋" w:cs="仿宋"/>
          <w:sz w:val="28"/>
          <w:szCs w:val="28"/>
          <w:lang w:val="zh-TW" w:eastAsia="zh-TW"/>
        </w:rPr>
        <w:t>智慧能源</w:t>
      </w:r>
      <w:r>
        <w:rPr>
          <w:rStyle w:val="22"/>
          <w:rFonts w:ascii="仿宋" w:hAnsi="仿宋" w:eastAsia="仿宋" w:cs="仿宋"/>
          <w:sz w:val="28"/>
          <w:szCs w:val="28"/>
          <w:lang w:val="en-US"/>
        </w:rPr>
        <w:t>”</w:t>
      </w:r>
      <w:r>
        <w:rPr>
          <w:rStyle w:val="19"/>
          <w:rFonts w:ascii="仿宋" w:hAnsi="仿宋" w:eastAsia="仿宋" w:cs="仿宋"/>
          <w:sz w:val="28"/>
          <w:szCs w:val="28"/>
          <w:lang w:val="zh-TW" w:eastAsia="zh-TW"/>
        </w:rPr>
        <w:t>的战略背景，新能源技术及该领域新兴业态蓬勃发展的趋势下，其产业的人才需求在不断的增加。</w:t>
      </w:r>
    </w:p>
    <w:p>
      <w:pPr>
        <w:framePr w:w="0" w:wrap="auto" w:vAnchor="margin" w:hAnchor="text" w:yAlign="inline"/>
        <w:spacing w:line="500" w:lineRule="exact"/>
        <w:ind w:firstLine="560"/>
        <w:rPr>
          <w:rStyle w:val="19"/>
          <w:rFonts w:ascii="仿宋" w:hAnsi="仿宋" w:eastAsia="仿宋" w:cs="仿宋"/>
          <w:sz w:val="28"/>
          <w:szCs w:val="28"/>
        </w:rPr>
      </w:pPr>
      <w:r>
        <w:rPr>
          <w:rStyle w:val="19"/>
          <w:rFonts w:ascii="仿宋" w:hAnsi="仿宋" w:eastAsia="仿宋" w:cs="仿宋"/>
          <w:sz w:val="28"/>
          <w:szCs w:val="28"/>
          <w:lang w:val="zh-TW" w:eastAsia="zh-TW"/>
        </w:rPr>
        <w:t>光伏电子工程是一个交叉融合的复合型领域，职业院校开设的专业点多，目前全国有</w:t>
      </w:r>
      <w:r>
        <w:rPr>
          <w:rStyle w:val="22"/>
          <w:rFonts w:ascii="仿宋" w:hAnsi="仿宋" w:eastAsia="仿宋" w:cs="仿宋"/>
          <w:sz w:val="28"/>
          <w:szCs w:val="28"/>
          <w:lang w:val="en-US"/>
        </w:rPr>
        <w:t>300</w:t>
      </w:r>
      <w:r>
        <w:rPr>
          <w:rStyle w:val="19"/>
          <w:rFonts w:ascii="仿宋" w:hAnsi="仿宋" w:eastAsia="仿宋" w:cs="仿宋"/>
          <w:sz w:val="28"/>
          <w:szCs w:val="28"/>
          <w:lang w:val="zh-TW" w:eastAsia="zh-TW"/>
        </w:rPr>
        <w:t>多所的院校开设有光伏电子领域相关专业，同时，教育部于</w:t>
      </w:r>
      <w:r>
        <w:rPr>
          <w:rStyle w:val="22"/>
          <w:rFonts w:ascii="仿宋" w:hAnsi="仿宋" w:eastAsia="仿宋" w:cs="仿宋"/>
          <w:sz w:val="28"/>
          <w:szCs w:val="28"/>
          <w:lang w:val="en-US"/>
        </w:rPr>
        <w:t>2015</w:t>
      </w:r>
      <w:r>
        <w:rPr>
          <w:rStyle w:val="19"/>
          <w:rFonts w:ascii="仿宋" w:hAnsi="仿宋" w:eastAsia="仿宋" w:cs="仿宋"/>
          <w:sz w:val="28"/>
          <w:szCs w:val="28"/>
          <w:lang w:val="zh-TW" w:eastAsia="zh-TW"/>
        </w:rPr>
        <w:t>年新颁布的高职高专专业目录，在电子信息大类中新增了</w:t>
      </w:r>
      <w:r>
        <w:rPr>
          <w:rStyle w:val="22"/>
          <w:rFonts w:ascii="仿宋" w:hAnsi="仿宋" w:eastAsia="仿宋" w:cs="仿宋"/>
          <w:sz w:val="28"/>
          <w:szCs w:val="28"/>
          <w:lang w:val="en-US"/>
        </w:rPr>
        <w:t>“</w:t>
      </w:r>
      <w:r>
        <w:rPr>
          <w:rStyle w:val="19"/>
          <w:rFonts w:ascii="仿宋" w:hAnsi="仿宋" w:eastAsia="仿宋" w:cs="仿宋"/>
          <w:sz w:val="28"/>
          <w:szCs w:val="28"/>
          <w:lang w:val="zh-TW" w:eastAsia="zh-TW"/>
        </w:rPr>
        <w:t>光伏工程技术</w:t>
      </w:r>
      <w:r>
        <w:rPr>
          <w:rStyle w:val="22"/>
          <w:rFonts w:ascii="仿宋" w:hAnsi="仿宋" w:eastAsia="仿宋" w:cs="仿宋"/>
          <w:sz w:val="28"/>
          <w:szCs w:val="28"/>
          <w:lang w:val="en-US"/>
        </w:rPr>
        <w:t>”</w:t>
      </w:r>
      <w:r>
        <w:rPr>
          <w:rStyle w:val="19"/>
          <w:rFonts w:ascii="仿宋" w:hAnsi="仿宋" w:eastAsia="仿宋" w:cs="仿宋"/>
          <w:sz w:val="28"/>
          <w:szCs w:val="28"/>
          <w:lang w:val="zh-TW" w:eastAsia="zh-TW"/>
        </w:rPr>
        <w:t>专业，亦拓展了新能源领域的专业覆盖面。</w:t>
      </w:r>
    </w:p>
    <w:p>
      <w:pPr>
        <w:pStyle w:val="3"/>
        <w:framePr w:w="0" w:wrap="auto" w:vAnchor="margin" w:hAnchor="text" w:yAlign="inline"/>
        <w:rPr>
          <w:rStyle w:val="15"/>
          <w:sz w:val="28"/>
          <w:szCs w:val="28"/>
          <w:lang w:val="zh-TW" w:eastAsia="zh-TW"/>
        </w:rPr>
      </w:pPr>
      <w:bookmarkStart w:id="25" w:name="_Toc13"/>
      <w:bookmarkStart w:id="26" w:name="_Toc22812"/>
      <w:r>
        <w:rPr>
          <w:rStyle w:val="19"/>
          <w:rFonts w:ascii="仿宋" w:hAnsi="仿宋" w:eastAsia="仿宋" w:cs="仿宋"/>
          <w:sz w:val="28"/>
          <w:szCs w:val="28"/>
          <w:lang w:val="zh-TW" w:eastAsia="zh-TW"/>
        </w:rPr>
        <w:t>（三）赛项设计坚持产教融合，教学为本，竞赛内容匹配职业岗位，体现专业核心能力与核心知识，全面涵盖专业知识与专业技能原则</w:t>
      </w:r>
      <w:bookmarkEnd w:id="25"/>
      <w:bookmarkEnd w:id="26"/>
    </w:p>
    <w:p>
      <w:pPr>
        <w:framePr w:w="0" w:wrap="auto" w:vAnchor="margin" w:hAnchor="text" w:yAlign="inline"/>
        <w:spacing w:line="500" w:lineRule="exact"/>
        <w:ind w:firstLine="560"/>
        <w:rPr>
          <w:rStyle w:val="19"/>
          <w:rFonts w:ascii="仿宋" w:hAnsi="仿宋" w:eastAsia="仿宋" w:cs="仿宋"/>
          <w:sz w:val="28"/>
          <w:szCs w:val="28"/>
          <w:lang w:val="zh-TW" w:eastAsia="zh-TW"/>
        </w:rPr>
      </w:pPr>
      <w:r>
        <w:rPr>
          <w:rStyle w:val="19"/>
          <w:rFonts w:ascii="仿宋" w:hAnsi="仿宋" w:eastAsia="仿宋" w:cs="仿宋"/>
          <w:sz w:val="28"/>
          <w:szCs w:val="28"/>
          <w:lang w:val="zh-TW" w:eastAsia="zh-TW"/>
        </w:rPr>
        <w:t>赛项基于对产业深度调研及专业衔接的设计思路基础上，以新能源领域产业人才需求为开发起点，糅合岗前、职后的人才可持续性培养需求为开发要求，通过企行业人才模型诉求与典型项目案例征集，经由教育专家充分论证并提炼，将应用场景、工作任务与教学创新模式相结合，并在赛项设计、实施过程及成果反馈中贯穿教学资源开发诉求，真正体现理实一体，工学结合，同时亦使赛项自身即可作为教学项目和创客案例纳入课程体系和教学计划。</w:t>
      </w:r>
    </w:p>
    <w:p>
      <w:pPr>
        <w:framePr w:w="0" w:wrap="auto" w:vAnchor="margin" w:hAnchor="text" w:yAlign="inline"/>
        <w:spacing w:line="500" w:lineRule="exact"/>
        <w:ind w:firstLine="560"/>
        <w:rPr>
          <w:rStyle w:val="19"/>
          <w:rFonts w:ascii="仿宋" w:hAnsi="仿宋" w:eastAsia="仿宋" w:cs="仿宋"/>
          <w:sz w:val="28"/>
          <w:szCs w:val="28"/>
          <w:lang w:val="zh-TW" w:eastAsia="zh-TW"/>
        </w:rPr>
      </w:pPr>
      <w:r>
        <w:rPr>
          <w:rStyle w:val="19"/>
          <w:rFonts w:ascii="仿宋" w:hAnsi="仿宋" w:eastAsia="仿宋" w:cs="仿宋"/>
          <w:sz w:val="28"/>
          <w:szCs w:val="28"/>
          <w:lang w:val="zh-TW" w:eastAsia="zh-TW"/>
        </w:rPr>
        <w:t>赛项全程以考核、评判岗位或目标任务要求的专业核心能力综合运用水平、比赛任务完成质量以及选手素养水平为设计原则，遵循国家职业技能标准命题，全面涵盖专业知识与技能，从而强化职业技能教育意识。</w:t>
      </w:r>
    </w:p>
    <w:p>
      <w:pPr>
        <w:pStyle w:val="3"/>
        <w:framePr w:w="0" w:wrap="auto" w:vAnchor="margin" w:hAnchor="text" w:yAlign="inline"/>
        <w:rPr>
          <w:rStyle w:val="15"/>
          <w:sz w:val="28"/>
          <w:szCs w:val="28"/>
          <w:lang w:val="zh-TW" w:eastAsia="zh-TW"/>
        </w:rPr>
      </w:pPr>
      <w:bookmarkStart w:id="27" w:name="_Toc6150"/>
      <w:bookmarkStart w:id="28" w:name="_Toc14"/>
      <w:r>
        <w:rPr>
          <w:rStyle w:val="19"/>
          <w:rFonts w:ascii="仿宋" w:hAnsi="仿宋" w:eastAsia="仿宋" w:cs="仿宋"/>
          <w:sz w:val="28"/>
          <w:szCs w:val="28"/>
          <w:lang w:val="zh-TW" w:eastAsia="zh-TW"/>
        </w:rPr>
        <w:t>（四）赛项设计坚持优选技术先进、应用成熟、通用性强、社会保有量高的竞赛平台原则</w:t>
      </w:r>
      <w:bookmarkEnd w:id="27"/>
      <w:bookmarkEnd w:id="28"/>
    </w:p>
    <w:p>
      <w:pPr>
        <w:framePr w:w="0" w:wrap="auto" w:vAnchor="margin" w:hAnchor="text" w:yAlign="inline"/>
        <w:spacing w:line="500" w:lineRule="exact"/>
        <w:ind w:firstLine="560"/>
        <w:rPr>
          <w:rStyle w:val="15"/>
          <w:sz w:val="28"/>
          <w:szCs w:val="28"/>
          <w:lang w:val="zh-TW" w:eastAsia="zh-TW"/>
        </w:rPr>
      </w:pPr>
      <w:r>
        <w:rPr>
          <w:rStyle w:val="19"/>
          <w:rFonts w:ascii="仿宋" w:hAnsi="仿宋" w:eastAsia="仿宋" w:cs="仿宋"/>
          <w:sz w:val="28"/>
          <w:szCs w:val="28"/>
          <w:lang w:val="zh-TW" w:eastAsia="zh-TW"/>
        </w:rPr>
        <w:t>竞赛平台遴选坚持教学为本，先进性、通用性并存原则。所选平台以满足新能源领域相关专业教学、实验实训要求为基本原则，兼顾学生培优，创新创业综合能力培养需求。</w:t>
      </w:r>
    </w:p>
    <w:p>
      <w:pPr>
        <w:framePr w:w="0" w:wrap="auto" w:vAnchor="margin" w:hAnchor="text" w:yAlign="inline"/>
        <w:spacing w:line="500" w:lineRule="exact"/>
        <w:ind w:firstLine="560"/>
        <w:rPr>
          <w:rStyle w:val="19"/>
          <w:rFonts w:ascii="仿宋" w:hAnsi="仿宋" w:eastAsia="仿宋" w:cs="仿宋"/>
          <w:sz w:val="28"/>
          <w:szCs w:val="28"/>
          <w:lang w:val="zh-TW" w:eastAsia="zh-TW"/>
        </w:rPr>
      </w:pPr>
      <w:r>
        <w:rPr>
          <w:rStyle w:val="19"/>
          <w:rFonts w:ascii="仿宋" w:hAnsi="仿宋" w:eastAsia="仿宋" w:cs="仿宋"/>
          <w:sz w:val="28"/>
          <w:szCs w:val="28"/>
          <w:lang w:val="zh-TW" w:eastAsia="zh-TW"/>
        </w:rPr>
        <w:t>竞赛平台设计由业界领先典型应用转换而来，经历了行业多种区域环境的适用性、稳定性、抗压性测试，技术、理论体系成熟，且极具前瞻的可研性；竞赛平台设计符合阶梯性教学需求，可以满足新能源领域相关专业理论课程、技能课程、项目课程以及创客课程实验实训需求，以契合院校专业实训教学需求为基本原则，以满足综合考核、甄选、评优多教学评价体系为目标，保护院校投资，为院校专业建设创造可持续的价值。</w:t>
      </w:r>
    </w:p>
    <w:p>
      <w:pPr>
        <w:pStyle w:val="3"/>
        <w:framePr w:w="0" w:wrap="auto" w:vAnchor="margin" w:hAnchor="text" w:yAlign="inline"/>
        <w:rPr>
          <w:rStyle w:val="15"/>
          <w:sz w:val="28"/>
          <w:szCs w:val="28"/>
          <w:lang w:val="zh-TW" w:eastAsia="zh-TW"/>
        </w:rPr>
      </w:pPr>
      <w:bookmarkStart w:id="29" w:name="_Toc15"/>
      <w:bookmarkStart w:id="30" w:name="_Toc29642"/>
      <w:r>
        <w:rPr>
          <w:rStyle w:val="19"/>
          <w:rFonts w:ascii="仿宋" w:hAnsi="仿宋" w:eastAsia="仿宋" w:cs="仿宋"/>
          <w:sz w:val="28"/>
          <w:szCs w:val="28"/>
          <w:lang w:val="zh-TW" w:eastAsia="zh-TW"/>
        </w:rPr>
        <w:t>（五）坚持赛项规划成熟度与前瞻性并行原则</w:t>
      </w:r>
      <w:bookmarkEnd w:id="29"/>
      <w:bookmarkEnd w:id="30"/>
    </w:p>
    <w:p>
      <w:pPr>
        <w:framePr w:w="0" w:wrap="auto" w:vAnchor="margin" w:hAnchor="text" w:yAlign="inline"/>
        <w:spacing w:line="500" w:lineRule="exact"/>
        <w:ind w:firstLine="560"/>
        <w:rPr>
          <w:sz w:val="28"/>
          <w:szCs w:val="28"/>
        </w:rPr>
      </w:pPr>
      <w:r>
        <w:rPr>
          <w:rStyle w:val="19"/>
          <w:rFonts w:ascii="仿宋" w:hAnsi="仿宋" w:eastAsia="仿宋" w:cs="仿宋"/>
          <w:sz w:val="28"/>
          <w:szCs w:val="28"/>
          <w:lang w:val="zh-TW" w:eastAsia="zh-TW"/>
        </w:rPr>
        <w:t>赛项选题坚持产业领域业态、技术成熟与趋势并行原则。新能源领域属于国家战略新兴产业，在其基础领域及相关领域国内外均有成熟赛项，如</w:t>
      </w:r>
      <w:r>
        <w:rPr>
          <w:rStyle w:val="14"/>
          <w:sz w:val="28"/>
          <w:szCs w:val="28"/>
          <w:lang w:val="en-US"/>
        </w:rPr>
        <w:t>“</w:t>
      </w:r>
      <w:r>
        <w:rPr>
          <w:rStyle w:val="19"/>
          <w:rFonts w:ascii="仿宋" w:hAnsi="仿宋" w:eastAsia="仿宋" w:cs="仿宋"/>
          <w:sz w:val="28"/>
          <w:szCs w:val="28"/>
          <w:lang w:val="zh-TW" w:eastAsia="zh-TW"/>
        </w:rPr>
        <w:t>全国大学生节能减排社会实践与科技竞赛</w:t>
      </w:r>
      <w:r>
        <w:rPr>
          <w:rStyle w:val="14"/>
          <w:sz w:val="28"/>
          <w:szCs w:val="28"/>
          <w:lang w:val="en-US"/>
        </w:rPr>
        <w:t>”</w:t>
      </w:r>
      <w:r>
        <w:rPr>
          <w:rStyle w:val="19"/>
          <w:rFonts w:ascii="仿宋" w:hAnsi="仿宋" w:eastAsia="仿宋" w:cs="仿宋"/>
          <w:sz w:val="28"/>
          <w:szCs w:val="28"/>
          <w:lang w:val="zh-TW" w:eastAsia="zh-TW"/>
        </w:rPr>
        <w:t>、</w:t>
      </w:r>
      <w:r>
        <w:rPr>
          <w:rStyle w:val="15"/>
          <w:sz w:val="28"/>
          <w:szCs w:val="28"/>
          <w:lang w:val="zh-TW" w:eastAsia="zh-TW"/>
        </w:rPr>
        <w:t>“</w:t>
      </w:r>
      <w:r>
        <w:rPr>
          <w:rStyle w:val="19"/>
          <w:rFonts w:ascii="仿宋" w:hAnsi="仿宋" w:eastAsia="仿宋" w:cs="仿宋"/>
          <w:sz w:val="28"/>
          <w:szCs w:val="28"/>
          <w:lang w:val="zh-TW" w:eastAsia="zh-TW"/>
        </w:rPr>
        <w:t>新能源国际大学生竞赛</w:t>
      </w:r>
      <w:r>
        <w:rPr>
          <w:rStyle w:val="15"/>
          <w:sz w:val="28"/>
          <w:szCs w:val="28"/>
          <w:lang w:val="zh-TW" w:eastAsia="zh-TW"/>
        </w:rPr>
        <w:t>”</w:t>
      </w:r>
      <w:r>
        <w:rPr>
          <w:rStyle w:val="19"/>
          <w:rFonts w:ascii="仿宋" w:hAnsi="仿宋" w:eastAsia="仿宋" w:cs="仿宋"/>
          <w:sz w:val="28"/>
          <w:szCs w:val="28"/>
          <w:lang w:val="zh-TW" w:eastAsia="zh-TW"/>
        </w:rPr>
        <w:t>、</w:t>
      </w:r>
      <w:r>
        <w:rPr>
          <w:rStyle w:val="15"/>
          <w:sz w:val="28"/>
          <w:szCs w:val="28"/>
          <w:lang w:val="zh-TW" w:eastAsia="zh-TW"/>
        </w:rPr>
        <w:t>“</w:t>
      </w:r>
      <w:r>
        <w:rPr>
          <w:rStyle w:val="19"/>
          <w:rFonts w:ascii="仿宋" w:hAnsi="仿宋" w:eastAsia="仿宋" w:cs="仿宋"/>
          <w:sz w:val="28"/>
          <w:szCs w:val="28"/>
          <w:lang w:val="zh-TW" w:eastAsia="zh-TW"/>
        </w:rPr>
        <w:t>国际太阳能十项全能竞赛</w:t>
      </w:r>
      <w:r>
        <w:rPr>
          <w:rStyle w:val="15"/>
          <w:sz w:val="28"/>
          <w:szCs w:val="28"/>
          <w:lang w:val="zh-TW" w:eastAsia="zh-TW"/>
        </w:rPr>
        <w:t>”</w:t>
      </w:r>
      <w:r>
        <w:rPr>
          <w:rStyle w:val="19"/>
          <w:rFonts w:ascii="仿宋" w:hAnsi="仿宋" w:eastAsia="仿宋" w:cs="仿宋"/>
          <w:sz w:val="28"/>
          <w:szCs w:val="28"/>
          <w:lang w:val="zh-TW" w:eastAsia="zh-TW"/>
        </w:rPr>
        <w:t>等。</w:t>
      </w:r>
    </w:p>
    <w:p>
      <w:pPr>
        <w:pStyle w:val="2"/>
        <w:framePr w:w="0" w:wrap="auto" w:vAnchor="margin" w:hAnchor="text" w:yAlign="inline"/>
        <w:rPr>
          <w:lang w:val="zh-TW" w:eastAsia="zh-TW"/>
        </w:rPr>
      </w:pPr>
      <w:bookmarkStart w:id="31" w:name="_Toc16"/>
      <w:bookmarkStart w:id="32" w:name="_Toc26018"/>
      <w:bookmarkStart w:id="33" w:name="_Toc17"/>
      <w:r>
        <w:rPr>
          <w:rFonts w:hint="eastAsia"/>
          <w:lang w:val="zh-TW" w:eastAsia="zh-CN"/>
        </w:rPr>
        <w:t>五、</w:t>
      </w:r>
      <w:r>
        <w:rPr>
          <w:lang w:val="zh-TW" w:eastAsia="zh-TW"/>
        </w:rPr>
        <w:t>赛项方案特色与创新点</w:t>
      </w:r>
      <w:bookmarkEnd w:id="31"/>
      <w:bookmarkEnd w:id="32"/>
    </w:p>
    <w:bookmarkEnd w:id="33"/>
    <w:p>
      <w:pPr>
        <w:pStyle w:val="3"/>
        <w:framePr w:w="0" w:wrap="auto" w:vAnchor="margin" w:hAnchor="text" w:yAlign="inline"/>
        <w:rPr>
          <w:lang w:val="zh-TW" w:eastAsia="zh-TW"/>
        </w:rPr>
      </w:pPr>
      <w:bookmarkStart w:id="34" w:name="_Toc21662"/>
      <w:bookmarkStart w:id="35" w:name="_Toc18"/>
      <w:r>
        <w:rPr>
          <w:lang w:val="zh-TW" w:eastAsia="zh-TW"/>
        </w:rPr>
        <w:t>（一）赛项方案特色</w:t>
      </w:r>
      <w:bookmarkEnd w:id="34"/>
    </w:p>
    <w:p>
      <w:pPr>
        <w:pStyle w:val="4"/>
        <w:framePr w:w="0" w:wrap="auto" w:vAnchor="margin" w:hAnchor="text" w:yAlign="inline"/>
      </w:pPr>
      <w:bookmarkStart w:id="36" w:name="_Toc32337"/>
      <w:bookmarkStart w:id="37" w:name="_Toc11370"/>
      <w:r>
        <w:rPr>
          <w:rStyle w:val="14"/>
          <w:lang w:val="en-US"/>
        </w:rPr>
        <w:t xml:space="preserve">1. </w:t>
      </w:r>
      <w:r>
        <w:rPr>
          <w:rStyle w:val="19"/>
          <w:rFonts w:ascii="仿宋" w:hAnsi="仿宋" w:eastAsia="仿宋" w:cs="仿宋"/>
          <w:lang w:val="zh-TW" w:eastAsia="zh-TW"/>
        </w:rPr>
        <w:t>从当前国家大力推动能源领域供给侧结构性改革入手，引导职业教育改革顺应国家产业政策和行业需求。</w:t>
      </w:r>
      <w:bookmarkEnd w:id="35"/>
      <w:bookmarkEnd w:id="36"/>
      <w:bookmarkEnd w:id="37"/>
    </w:p>
    <w:p>
      <w:pPr>
        <w:framePr w:w="0" w:wrap="auto" w:vAnchor="margin" w:hAnchor="text" w:yAlign="inline"/>
        <w:spacing w:line="500" w:lineRule="exact"/>
        <w:ind w:firstLine="560"/>
        <w:rPr>
          <w:lang w:val="zh-TW" w:eastAsia="zh-TW"/>
        </w:rPr>
      </w:pPr>
      <w:r>
        <w:rPr>
          <w:rStyle w:val="19"/>
          <w:rFonts w:ascii="仿宋" w:hAnsi="仿宋" w:eastAsia="仿宋" w:cs="仿宋"/>
          <w:lang w:val="zh-TW" w:eastAsia="zh-TW"/>
        </w:rPr>
        <w:t>新能源产业的革命，将逐步改变全球能源消费结构框架，进而引领世界新经济增长模式，而伴随着国内经济步入提质增效的新常态阶段，产业用人模型质与量也提出了更高的诉求，高职院校亦着眼于如何调整专业结构，如何凝练新兴专业的科学定位与内涵构建以实现院校竞争力。赛项选题于此，正因新能源产业群将成为新一轮增长周期的领头产业</w:t>
      </w:r>
      <w:r>
        <w:rPr>
          <w:rStyle w:val="15"/>
          <w:lang w:val="zh-TW" w:eastAsia="zh-TW"/>
        </w:rPr>
        <w:t>,</w:t>
      </w:r>
      <w:r>
        <w:rPr>
          <w:rStyle w:val="19"/>
          <w:rFonts w:ascii="仿宋" w:hAnsi="仿宋" w:eastAsia="仿宋" w:cs="仿宋"/>
          <w:lang w:val="zh-TW" w:eastAsia="zh-TW"/>
        </w:rPr>
        <w:t>而我国在新能源领域的人才储备相对不足，且值</w:t>
      </w:r>
      <w:r>
        <w:rPr>
          <w:rStyle w:val="15"/>
          <w:lang w:val="zh-TW" w:eastAsia="zh-TW"/>
        </w:rPr>
        <w:t>“</w:t>
      </w:r>
      <w:r>
        <w:rPr>
          <w:rStyle w:val="19"/>
          <w:rFonts w:ascii="仿宋" w:hAnsi="仿宋" w:eastAsia="仿宋" w:cs="仿宋"/>
          <w:lang w:val="zh-TW" w:eastAsia="zh-TW"/>
        </w:rPr>
        <w:t>光伏工程技术</w:t>
      </w:r>
      <w:r>
        <w:rPr>
          <w:rStyle w:val="15"/>
          <w:lang w:val="zh-TW" w:eastAsia="zh-TW"/>
        </w:rPr>
        <w:t>”</w:t>
      </w:r>
      <w:r>
        <w:rPr>
          <w:rStyle w:val="19"/>
          <w:rFonts w:ascii="仿宋" w:hAnsi="仿宋" w:eastAsia="仿宋" w:cs="仿宋"/>
          <w:lang w:val="zh-TW" w:eastAsia="zh-TW"/>
        </w:rPr>
        <w:t>等国家战略方向性的新兴专业开发建设期，赛项的举办将有效的引导院校关注新能源产业，了解产业技术成果与应用趋势，探索专业建设方向。</w:t>
      </w:r>
    </w:p>
    <w:p>
      <w:pPr>
        <w:pStyle w:val="4"/>
        <w:framePr w:w="0" w:wrap="auto" w:vAnchor="margin" w:hAnchor="text" w:yAlign="inline"/>
      </w:pPr>
      <w:bookmarkStart w:id="38" w:name="_Toc17367"/>
      <w:bookmarkStart w:id="39" w:name="_Toc19"/>
      <w:bookmarkStart w:id="40" w:name="_Toc4279"/>
      <w:r>
        <w:rPr>
          <w:rStyle w:val="14"/>
          <w:lang w:val="en-US"/>
        </w:rPr>
        <w:t xml:space="preserve">2. </w:t>
      </w:r>
      <w:r>
        <w:rPr>
          <w:rStyle w:val="19"/>
          <w:rFonts w:ascii="仿宋" w:hAnsi="仿宋" w:eastAsia="仿宋" w:cs="仿宋"/>
          <w:lang w:val="zh-TW" w:eastAsia="zh-TW"/>
        </w:rPr>
        <w:t>从电子信息工程技术的光伏专业方向入手，为光伏新能源领域培养具备新能源开发和电子信息工程的复合型人才。</w:t>
      </w:r>
      <w:bookmarkEnd w:id="38"/>
      <w:bookmarkEnd w:id="39"/>
      <w:bookmarkEnd w:id="40"/>
    </w:p>
    <w:p>
      <w:pPr>
        <w:framePr w:w="0" w:wrap="auto" w:vAnchor="margin" w:hAnchor="text" w:yAlign="inline"/>
        <w:tabs>
          <w:tab w:val="left" w:pos="2010"/>
        </w:tabs>
        <w:spacing w:line="520" w:lineRule="exact"/>
        <w:ind w:firstLine="420"/>
        <w:jc w:val="left"/>
        <w:rPr>
          <w:rStyle w:val="19"/>
          <w:rFonts w:ascii="仿宋" w:hAnsi="仿宋" w:eastAsia="仿宋" w:cs="仿宋"/>
        </w:rPr>
      </w:pPr>
      <w:r>
        <w:rPr>
          <w:rStyle w:val="19"/>
          <w:rFonts w:ascii="仿宋" w:hAnsi="仿宋" w:eastAsia="仿宋" w:cs="仿宋"/>
          <w:lang w:val="zh-TW" w:eastAsia="zh-TW"/>
        </w:rPr>
        <w:t>光伏电子工程的设计与实施赛项对于新常态下新兴专业的有效开发与建设极具典型性与示范性。新能源是一个典型因产业结构调整、技术变更升级而驱动的新兴领域，而国家大力推进的</w:t>
      </w:r>
      <w:r>
        <w:rPr>
          <w:rStyle w:val="22"/>
          <w:rFonts w:ascii="仿宋" w:hAnsi="仿宋" w:eastAsia="仿宋" w:cs="仿宋"/>
          <w:lang w:val="en-US"/>
        </w:rPr>
        <w:t>“</w:t>
      </w:r>
      <w:r>
        <w:rPr>
          <w:rStyle w:val="19"/>
          <w:rFonts w:ascii="仿宋" w:hAnsi="仿宋" w:eastAsia="仿宋" w:cs="仿宋"/>
          <w:lang w:val="zh-TW" w:eastAsia="zh-TW"/>
        </w:rPr>
        <w:t>互联网</w:t>
      </w:r>
      <w:r>
        <w:rPr>
          <w:rStyle w:val="22"/>
          <w:rFonts w:ascii="仿宋" w:hAnsi="仿宋" w:eastAsia="仿宋" w:cs="仿宋"/>
          <w:lang w:val="en-US"/>
        </w:rPr>
        <w:t>+</w:t>
      </w:r>
      <w:r>
        <w:rPr>
          <w:rStyle w:val="19"/>
          <w:rFonts w:ascii="仿宋" w:hAnsi="仿宋" w:eastAsia="仿宋" w:cs="仿宋"/>
          <w:lang w:val="zh-TW" w:eastAsia="zh-TW"/>
        </w:rPr>
        <w:t>智慧能源</w:t>
      </w:r>
      <w:r>
        <w:rPr>
          <w:rStyle w:val="22"/>
          <w:rFonts w:ascii="仿宋" w:hAnsi="仿宋" w:eastAsia="仿宋" w:cs="仿宋"/>
          <w:lang w:val="en-US"/>
        </w:rPr>
        <w:t>”</w:t>
      </w:r>
      <w:r>
        <w:rPr>
          <w:rStyle w:val="19"/>
          <w:rFonts w:ascii="仿宋" w:hAnsi="仿宋" w:eastAsia="仿宋" w:cs="仿宋"/>
          <w:lang w:val="zh-TW" w:eastAsia="zh-TW"/>
        </w:rPr>
        <w:t>行动计划，亦强调了需要加强移动互联网、云计算、大数据和物联网等技术在能源领域的融合应用</w:t>
      </w:r>
      <w:r>
        <w:rPr>
          <w:rStyle w:val="19"/>
          <w:rFonts w:ascii="仿宋" w:hAnsi="仿宋" w:eastAsia="仿宋" w:cs="仿宋"/>
          <w:lang w:val="zh-CN" w:eastAsia="zh-CN"/>
        </w:rPr>
        <w:t>；</w:t>
      </w:r>
      <w:r>
        <w:rPr>
          <w:lang w:val="zh-CN" w:eastAsia="zh-CN"/>
        </w:rPr>
        <w:t>同时应用</w:t>
      </w:r>
      <w:r>
        <w:rPr>
          <w:rStyle w:val="19"/>
          <w:rFonts w:ascii="仿宋" w:hAnsi="仿宋" w:eastAsia="仿宋" w:cs="仿宋"/>
          <w:lang w:val="zh-TW" w:eastAsia="zh-TW"/>
        </w:rPr>
        <w:t>电子技术在光伏逆变设备、监控数据采集、智能微电网、区域能源管控等光伏组件的设计制造、工程应用、调试维护</w:t>
      </w:r>
      <w:r>
        <w:rPr>
          <w:lang w:val="zh-CN" w:eastAsia="zh-CN"/>
        </w:rPr>
        <w:t>等典型工作</w:t>
      </w:r>
      <w:r>
        <w:rPr>
          <w:rStyle w:val="19"/>
          <w:rFonts w:ascii="仿宋" w:hAnsi="仿宋" w:eastAsia="仿宋" w:cs="仿宋"/>
          <w:lang w:val="zh-TW" w:eastAsia="zh-TW"/>
        </w:rPr>
        <w:t>领域发挥着重要作用。故而其产业人才需要具有的综合能力素养、角色能力本位、可持续发展力等能力诉求对于新常态下的企业用人极具有代表性质。赛项设计是基于对</w:t>
      </w:r>
      <w:r>
        <w:rPr>
          <w:rStyle w:val="22"/>
          <w:rFonts w:ascii="仿宋" w:hAnsi="仿宋" w:eastAsia="仿宋" w:cs="仿宋"/>
          <w:lang w:val="en-US"/>
        </w:rPr>
        <w:t>“</w:t>
      </w:r>
      <w:r>
        <w:rPr>
          <w:rStyle w:val="19"/>
          <w:rFonts w:ascii="仿宋" w:hAnsi="仿宋" w:eastAsia="仿宋" w:cs="仿宋"/>
          <w:lang w:val="zh-TW" w:eastAsia="zh-TW"/>
        </w:rPr>
        <w:t>光伏工程技术</w:t>
      </w:r>
      <w:r>
        <w:rPr>
          <w:rStyle w:val="22"/>
          <w:rFonts w:ascii="仿宋" w:hAnsi="仿宋" w:eastAsia="仿宋" w:cs="仿宋"/>
          <w:lang w:val="en-US"/>
        </w:rPr>
        <w:t>”</w:t>
      </w:r>
      <w:r>
        <w:rPr>
          <w:rStyle w:val="19"/>
          <w:rFonts w:ascii="仿宋" w:hAnsi="仿宋" w:eastAsia="仿宋" w:cs="仿宋"/>
          <w:lang w:val="zh-TW" w:eastAsia="zh-TW"/>
        </w:rPr>
        <w:t>这一新能源领域风口产业的专业开发后提炼而成的，引入了政企业界的项目咨询模式，就产业创新类型分析、院校发展力规划、职业岗位发展路径、职业角色能力图谱分析、专业核心能力核心知识等多维度的专业调研解析论证，而后综合提炼出的可充分考核评价人才培养的典型项目。是一可真实反应出通过赛项引导、产业结构调整驱动专业设置与改革、产业技术进步驱动课程改革机制的具有典型性与示范性的新兴赛项。</w:t>
      </w:r>
    </w:p>
    <w:p>
      <w:pPr>
        <w:pStyle w:val="4"/>
        <w:framePr w:w="0" w:wrap="auto" w:vAnchor="margin" w:hAnchor="text" w:yAlign="inline"/>
      </w:pPr>
      <w:bookmarkStart w:id="41" w:name="_Toc20"/>
      <w:bookmarkStart w:id="42" w:name="_Toc4283"/>
      <w:bookmarkStart w:id="43" w:name="_Toc23752"/>
      <w:r>
        <w:rPr>
          <w:rStyle w:val="14"/>
          <w:lang w:val="en-US"/>
        </w:rPr>
        <w:t xml:space="preserve">3. </w:t>
      </w:r>
      <w:r>
        <w:rPr>
          <w:rStyle w:val="19"/>
          <w:rFonts w:ascii="仿宋" w:hAnsi="仿宋" w:eastAsia="仿宋" w:cs="仿宋"/>
          <w:lang w:val="zh-TW" w:eastAsia="zh-TW"/>
        </w:rPr>
        <w:t>从当前国内外光伏领域的成熟赛事和赛事管理新技术入手，引入全新的赛事理念和智能化的赛事运作模式，打造全新特色的新能源赛事。</w:t>
      </w:r>
      <w:bookmarkEnd w:id="41"/>
      <w:bookmarkEnd w:id="42"/>
      <w:bookmarkEnd w:id="43"/>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国际太阳能十项全能竞赛（</w:t>
      </w:r>
      <w:r>
        <w:rPr>
          <w:rStyle w:val="14"/>
          <w:lang w:val="en-US"/>
        </w:rPr>
        <w:t>SD</w:t>
      </w:r>
      <w:r>
        <w:rPr>
          <w:rStyle w:val="19"/>
          <w:rFonts w:ascii="仿宋" w:hAnsi="仿宋" w:eastAsia="仿宋" w:cs="仿宋"/>
          <w:lang w:val="zh-TW" w:eastAsia="zh-TW"/>
        </w:rPr>
        <w:t>赛项）作为以全球高校为参赛单位全世界最高水准的太阳能应用比赛</w:t>
      </w:r>
      <w:r>
        <w:rPr>
          <w:rStyle w:val="14"/>
          <w:lang w:val="en-US"/>
        </w:rPr>
        <w:t>,</w:t>
      </w:r>
      <w:r>
        <w:rPr>
          <w:rStyle w:val="19"/>
          <w:rFonts w:ascii="仿宋" w:hAnsi="仿宋" w:eastAsia="仿宋" w:cs="仿宋"/>
          <w:lang w:val="zh-TW" w:eastAsia="zh-TW"/>
        </w:rPr>
        <w:t>其旨在通过赛项的举办，锻炼学生、引发思想、助推产业、打造平台，加快新能源产业的产学研融合与交流，推进能源技术的创新发展和深度应用。光伏电子工程的设计与实施赛项引入</w:t>
      </w:r>
      <w:r>
        <w:rPr>
          <w:rStyle w:val="14"/>
          <w:lang w:val="en-US"/>
        </w:rPr>
        <w:t>SD</w:t>
      </w:r>
      <w:r>
        <w:rPr>
          <w:rStyle w:val="19"/>
          <w:rFonts w:ascii="仿宋" w:hAnsi="仿宋" w:eastAsia="仿宋" w:cs="仿宋"/>
          <w:lang w:val="zh-TW" w:eastAsia="zh-TW"/>
        </w:rPr>
        <w:t>赛项的设计理念，意涵在于借鉴这一赛事，通过具有云端仿真规划、设计功能的</w:t>
      </w:r>
      <w:r>
        <w:rPr>
          <w:rStyle w:val="14"/>
          <w:lang w:val="en-US"/>
        </w:rPr>
        <w:t>Vulcan</w:t>
      </w:r>
      <w:r>
        <w:rPr>
          <w:rStyle w:val="19"/>
          <w:rFonts w:ascii="仿宋" w:hAnsi="仿宋" w:eastAsia="仿宋" w:cs="仿宋"/>
          <w:lang w:val="zh-TW" w:eastAsia="zh-TW"/>
        </w:rPr>
        <w:t>系统，分为</w:t>
      </w:r>
      <w:r>
        <w:rPr>
          <w:rStyle w:val="14"/>
          <w:lang w:val="en-US"/>
        </w:rPr>
        <w:t>4</w:t>
      </w:r>
      <w:r>
        <w:rPr>
          <w:rStyle w:val="19"/>
          <w:rFonts w:ascii="仿宋" w:hAnsi="仿宋" w:eastAsia="仿宋" w:cs="仿宋"/>
          <w:lang w:val="zh-TW" w:eastAsia="zh-TW"/>
        </w:rPr>
        <w:t>个单项考查学生全面技能，锻炼考核学生新能源工程规划设计、工程实施管理、运维及应用系统开发等方面的能力。同时赛项组织全过程采用物联网、大数据等智能化技术手段确保赛事管理与支撑，实现对选手、裁判、工作人员的智能化管理，并启用多维度竞赛评价系统，可从竞赛结果数据中分析出普遍参赛选手对技能掌握熟练程度的分布情况，以及对技术难易选择的曲线情况，从而科学的判断和分析教学的欠缺和培养重点。</w:t>
      </w:r>
    </w:p>
    <w:p>
      <w:pPr>
        <w:framePr w:w="0" w:wrap="auto" w:vAnchor="margin" w:hAnchor="text" w:yAlign="inline"/>
        <w:spacing w:line="500" w:lineRule="exact"/>
        <w:ind w:firstLine="560"/>
        <w:rPr>
          <w:rStyle w:val="19"/>
          <w:rFonts w:ascii="仿宋" w:hAnsi="仿宋" w:eastAsia="仿宋" w:cs="仿宋"/>
          <w:lang w:val="zh-TW" w:eastAsia="zh-TW"/>
        </w:rPr>
      </w:pPr>
    </w:p>
    <w:p>
      <w:pPr>
        <w:pStyle w:val="3"/>
        <w:framePr w:w="0" w:wrap="auto" w:vAnchor="margin" w:hAnchor="text" w:yAlign="inline"/>
        <w:rPr>
          <w:lang w:val="zh-TW" w:eastAsia="zh-TW"/>
        </w:rPr>
      </w:pPr>
      <w:bookmarkStart w:id="44" w:name="_Toc31224"/>
      <w:bookmarkStart w:id="45" w:name="_Toc21"/>
      <w:r>
        <w:rPr>
          <w:lang w:val="zh-TW" w:eastAsia="zh-TW"/>
        </w:rPr>
        <w:t>（二）赛项创新点</w:t>
      </w:r>
      <w:bookmarkEnd w:id="44"/>
      <w:bookmarkEnd w:id="45"/>
    </w:p>
    <w:p>
      <w:pPr>
        <w:pStyle w:val="4"/>
        <w:framePr w:w="0" w:wrap="auto" w:vAnchor="margin" w:hAnchor="text" w:yAlign="inline"/>
      </w:pPr>
      <w:bookmarkStart w:id="46" w:name="_Toc1341"/>
      <w:bookmarkStart w:id="47" w:name="_Toc5521"/>
      <w:bookmarkStart w:id="48" w:name="_Toc22"/>
      <w:r>
        <w:rPr>
          <w:rStyle w:val="14"/>
          <w:lang w:val="en-US"/>
        </w:rPr>
        <w:t xml:space="preserve">1. </w:t>
      </w:r>
      <w:r>
        <w:rPr>
          <w:rStyle w:val="19"/>
          <w:rFonts w:ascii="仿宋" w:hAnsi="仿宋" w:eastAsia="仿宋" w:cs="仿宋"/>
          <w:lang w:val="zh-TW" w:eastAsia="zh-TW"/>
        </w:rPr>
        <w:t>竞赛任务的创新点：赛项任务在宏观层面将绿色发展和能源梯级利用的现实需求纳入考核范围中，实现了专业建设与人才需求、教学实训与项目建设等多方位多层次的融合。</w:t>
      </w:r>
      <w:bookmarkEnd w:id="46"/>
      <w:bookmarkEnd w:id="47"/>
      <w:bookmarkEnd w:id="48"/>
    </w:p>
    <w:p>
      <w:pPr>
        <w:framePr w:w="0" w:wrap="auto" w:vAnchor="margin" w:hAnchor="text" w:yAlign="inline"/>
        <w:spacing w:line="500" w:lineRule="atLeast"/>
        <w:ind w:firstLine="560"/>
      </w:pPr>
      <w:r>
        <w:rPr>
          <w:rStyle w:val="14"/>
          <w:lang w:val="en-US"/>
        </w:rPr>
        <w:t>“</w:t>
      </w:r>
      <w:r>
        <w:rPr>
          <w:rStyle w:val="19"/>
          <w:rFonts w:ascii="仿宋" w:hAnsi="仿宋" w:eastAsia="仿宋" w:cs="仿宋"/>
          <w:lang w:val="zh-TW" w:eastAsia="zh-TW"/>
        </w:rPr>
        <w:t>光伏电子工程的设计与实施</w:t>
      </w:r>
      <w:r>
        <w:rPr>
          <w:rStyle w:val="14"/>
          <w:lang w:val="en-US"/>
        </w:rPr>
        <w:t>”</w:t>
      </w:r>
      <w:r>
        <w:rPr>
          <w:rStyle w:val="19"/>
          <w:rFonts w:ascii="仿宋" w:hAnsi="仿宋" w:eastAsia="仿宋" w:cs="仿宋"/>
          <w:lang w:val="zh-TW" w:eastAsia="zh-TW"/>
        </w:rPr>
        <w:t>赛项将是首个立足于国家能源战略与民生经济高度，以开放式竞技方式引发全民新能源文化意识思潮的职业教育赛项。参赛者在完成竞技设计任务时需综合评估</w:t>
      </w:r>
      <w:r>
        <w:rPr>
          <w:rStyle w:val="14"/>
          <w:lang w:val="en-US"/>
        </w:rPr>
        <w:t>“</w:t>
      </w:r>
      <w:r>
        <w:rPr>
          <w:rStyle w:val="19"/>
          <w:rFonts w:ascii="仿宋" w:hAnsi="仿宋" w:eastAsia="仿宋" w:cs="仿宋"/>
          <w:lang w:val="zh-TW" w:eastAsia="zh-TW"/>
        </w:rPr>
        <w:t>能源</w:t>
      </w:r>
      <w:r>
        <w:rPr>
          <w:rStyle w:val="14"/>
          <w:lang w:val="en-US"/>
        </w:rPr>
        <w:t>-</w:t>
      </w:r>
      <w:r>
        <w:rPr>
          <w:rStyle w:val="19"/>
          <w:rFonts w:ascii="仿宋" w:hAnsi="仿宋" w:eastAsia="仿宋" w:cs="仿宋"/>
          <w:lang w:val="zh-TW" w:eastAsia="zh-TW"/>
        </w:rPr>
        <w:t>经济</w:t>
      </w:r>
      <w:r>
        <w:rPr>
          <w:rStyle w:val="14"/>
          <w:lang w:val="en-US"/>
        </w:rPr>
        <w:t>-</w:t>
      </w:r>
      <w:r>
        <w:rPr>
          <w:rStyle w:val="19"/>
          <w:rFonts w:ascii="仿宋" w:hAnsi="仿宋" w:eastAsia="仿宋" w:cs="仿宋"/>
          <w:lang w:val="zh-TW" w:eastAsia="zh-TW"/>
        </w:rPr>
        <w:t>安全</w:t>
      </w:r>
      <w:r>
        <w:rPr>
          <w:rStyle w:val="14"/>
          <w:lang w:val="en-US"/>
        </w:rPr>
        <w:t>-</w:t>
      </w:r>
      <w:r>
        <w:rPr>
          <w:rStyle w:val="19"/>
          <w:rFonts w:ascii="仿宋" w:hAnsi="仿宋" w:eastAsia="仿宋" w:cs="仿宋"/>
          <w:lang w:val="zh-TW" w:eastAsia="zh-TW"/>
        </w:rPr>
        <w:t>环境</w:t>
      </w:r>
      <w:r>
        <w:rPr>
          <w:rStyle w:val="14"/>
          <w:lang w:val="en-US"/>
        </w:rPr>
        <w:t>-</w:t>
      </w:r>
      <w:r>
        <w:rPr>
          <w:rStyle w:val="19"/>
          <w:rFonts w:ascii="仿宋" w:hAnsi="仿宋" w:eastAsia="仿宋" w:cs="仿宋"/>
          <w:lang w:val="zh-TW" w:eastAsia="zh-TW"/>
        </w:rPr>
        <w:t>气候</w:t>
      </w:r>
      <w:r>
        <w:rPr>
          <w:rStyle w:val="14"/>
          <w:lang w:val="en-US"/>
        </w:rPr>
        <w:t>”</w:t>
      </w:r>
      <w:r>
        <w:rPr>
          <w:rStyle w:val="19"/>
          <w:rFonts w:ascii="仿宋" w:hAnsi="仿宋" w:eastAsia="仿宋" w:cs="仿宋"/>
          <w:lang w:val="zh-TW" w:eastAsia="zh-TW"/>
        </w:rPr>
        <w:t>等系统的设计因素，在实现应用任务时同时需要综合电子、嵌入式、应用开发、数据分析与预测等技术，故而已创新性糅合了新能源文化思潮、创新思维与意识、跨学科交叉融合的培养于赛项中，着眼于培养学生具有统筹、宏观的视角高度发现问题、解决问题的能力，契合现今新常态下高技能型人才宏观、创新、持续学习的综合职业能力的培养诉求。</w:t>
      </w:r>
    </w:p>
    <w:p>
      <w:pPr>
        <w:pStyle w:val="4"/>
        <w:framePr w:w="0" w:wrap="auto" w:vAnchor="margin" w:hAnchor="text" w:yAlign="inline"/>
      </w:pPr>
      <w:bookmarkStart w:id="49" w:name="_Toc23"/>
      <w:bookmarkStart w:id="50" w:name="_Toc17224"/>
      <w:bookmarkStart w:id="51" w:name="_Toc23832"/>
      <w:r>
        <w:rPr>
          <w:rStyle w:val="14"/>
          <w:lang w:val="en-US"/>
        </w:rPr>
        <w:t xml:space="preserve">2. </w:t>
      </w:r>
      <w:r>
        <w:rPr>
          <w:rStyle w:val="19"/>
          <w:rFonts w:ascii="仿宋" w:hAnsi="仿宋" w:eastAsia="仿宋" w:cs="仿宋"/>
          <w:lang w:val="zh-TW" w:eastAsia="zh-TW"/>
        </w:rPr>
        <w:t>赛项资源的创新点：赛项资源转化创新性的实现可同时服务于专业建设和产业发展。</w:t>
      </w:r>
      <w:bookmarkEnd w:id="49"/>
      <w:bookmarkEnd w:id="50"/>
      <w:bookmarkEnd w:id="51"/>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新能源产业在我国的发展较迟于欧美国家，于不同类型、不同规模的新能源工程、能源互联网生态缺乏可持续性、可推广的案例示范。光伏电子工程的设计与实施赛项最突出的创新点在于，赛项所设计、完成的项目任务，赛项设计个案，不仅仅能够服务于专业建设，更可成为产业案例应用参考，以及积累大量的来自于各个区域的数据资源。</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而对于专业建设本身，赛项所设计的多维度赛项评价系统，在赛后可复用为教学服务的教学实训评价平台。既涵括</w:t>
      </w:r>
      <w:r>
        <w:rPr>
          <w:rStyle w:val="14"/>
          <w:lang w:val="en-US"/>
        </w:rPr>
        <w:t>SOL</w:t>
      </w:r>
      <w:r>
        <w:rPr>
          <w:rStyle w:val="19"/>
          <w:rFonts w:ascii="仿宋" w:hAnsi="仿宋" w:eastAsia="仿宋" w:cs="仿宋"/>
          <w:lang w:val="zh-TW" w:eastAsia="zh-TW"/>
        </w:rPr>
        <w:t>新能源云资源平台建设的教学资源体系；又可实现对教学实训进行全方位的管理，对于教学实训情况真实数据的采集和维护，统计和分析，设定评分规则，并对实训教学情况进行客观评价，为教学分析提供依据。更好的体现了赛项成果的资源转化。</w:t>
      </w:r>
    </w:p>
    <w:p>
      <w:pPr>
        <w:pStyle w:val="2"/>
        <w:framePr w:w="0" w:wrap="auto" w:vAnchor="margin" w:hAnchor="text" w:yAlign="inline"/>
        <w:rPr>
          <w:lang w:val="zh-TW" w:eastAsia="zh-TW"/>
        </w:rPr>
      </w:pPr>
      <w:bookmarkStart w:id="52" w:name="_Toc24"/>
      <w:bookmarkStart w:id="53" w:name="_Toc25930"/>
      <w:r>
        <w:rPr>
          <w:rFonts w:hint="eastAsia"/>
          <w:lang w:val="zh-TW" w:eastAsia="zh-CN"/>
        </w:rPr>
        <w:t>六、</w:t>
      </w:r>
      <w:r>
        <w:rPr>
          <w:lang w:val="zh-TW" w:eastAsia="zh-TW"/>
        </w:rPr>
        <w:t>竞赛内容简介</w:t>
      </w:r>
      <w:bookmarkEnd w:id="52"/>
      <w:bookmarkEnd w:id="53"/>
    </w:p>
    <w:p>
      <w:pPr>
        <w:framePr w:w="0" w:wrap="auto" w:vAnchor="margin" w:hAnchor="text" w:yAlign="inline"/>
        <w:numPr>
          <w:ilvl w:val="0"/>
          <w:numId w:val="0"/>
        </w:numPr>
        <w:spacing w:line="500" w:lineRule="exact"/>
        <w:ind w:leftChars="0" w:right="0" w:rightChars="0"/>
      </w:pPr>
      <w:bookmarkStart w:id="54" w:name="OLE_LINK5"/>
      <w:r>
        <w:rPr>
          <w:rStyle w:val="19"/>
          <w:rFonts w:hint="eastAsia" w:ascii="仿宋" w:hAnsi="仿宋" w:eastAsia="仿宋" w:cs="仿宋"/>
          <w:lang w:val="en-US" w:eastAsia="zh-CN"/>
        </w:rPr>
        <w:t xml:space="preserve">    </w:t>
      </w:r>
      <w:r>
        <w:rPr>
          <w:rStyle w:val="19"/>
          <w:rFonts w:ascii="仿宋" w:hAnsi="仿宋" w:eastAsia="仿宋" w:cs="仿宋"/>
          <w:lang w:val="zh-TW" w:eastAsia="zh-TW"/>
        </w:rPr>
        <w:t>新能源产业作为世界各国战略新兴产业之一，与国家民生息息相关，其产业需求及应用领域极为广泛，已成为一个国家构建新经济模式和重塑国家长期竞争力的驱动力量。</w:t>
      </w:r>
      <w:r>
        <w:rPr>
          <w:rStyle w:val="15"/>
          <w:lang w:val="zh-TW" w:eastAsia="zh-TW"/>
        </w:rPr>
        <w:t>“</w:t>
      </w:r>
      <w:r>
        <w:rPr>
          <w:rStyle w:val="19"/>
          <w:rFonts w:ascii="仿宋" w:hAnsi="仿宋" w:eastAsia="仿宋" w:cs="仿宋"/>
          <w:lang w:val="zh-TW" w:eastAsia="zh-TW"/>
        </w:rPr>
        <w:t>光伏电子工程的设计与实施</w:t>
      </w:r>
      <w:r>
        <w:rPr>
          <w:rStyle w:val="15"/>
          <w:lang w:val="zh-TW" w:eastAsia="zh-TW"/>
        </w:rPr>
        <w:t>”</w:t>
      </w:r>
      <w:r>
        <w:rPr>
          <w:rStyle w:val="19"/>
          <w:rFonts w:ascii="仿宋" w:hAnsi="仿宋" w:eastAsia="仿宋" w:cs="仿宋"/>
          <w:lang w:val="zh-TW" w:eastAsia="zh-TW"/>
        </w:rPr>
        <w:t>赛项正是响应了新能源产业在未来几年内的高速发展而带来的大量人才需求而设计的。通过技能竞赛的组织，推进</w:t>
      </w:r>
      <w:r>
        <w:rPr>
          <w:rStyle w:val="14"/>
          <w:lang w:val="en-US"/>
        </w:rPr>
        <w:t>“</w:t>
      </w:r>
      <w:r>
        <w:rPr>
          <w:rStyle w:val="19"/>
          <w:rFonts w:ascii="仿宋" w:hAnsi="仿宋" w:eastAsia="仿宋" w:cs="仿宋"/>
          <w:lang w:val="zh-TW" w:eastAsia="zh-TW"/>
        </w:rPr>
        <w:t>光伏工程技术</w:t>
      </w:r>
      <w:r>
        <w:rPr>
          <w:rStyle w:val="14"/>
          <w:lang w:val="en-US"/>
        </w:rPr>
        <w:t>”</w:t>
      </w:r>
      <w:r>
        <w:rPr>
          <w:rStyle w:val="19"/>
          <w:rFonts w:ascii="仿宋" w:hAnsi="仿宋" w:eastAsia="仿宋" w:cs="仿宋"/>
          <w:lang w:val="zh-TW" w:eastAsia="zh-TW"/>
        </w:rPr>
        <w:t>等战略新兴产业新能源领域专业的建设与发展，创造优质的教育供给环境，推进产业结构调整驱动专业设置与改革、产业技术进步驱动课程改革机制的实施。</w:t>
      </w:r>
    </w:p>
    <w:p>
      <w:pPr>
        <w:framePr w:w="0" w:wrap="auto" w:vAnchor="margin" w:hAnchor="text" w:yAlign="inline"/>
        <w:spacing w:line="500" w:lineRule="exact"/>
        <w:ind w:firstLine="560"/>
      </w:pPr>
      <w:r>
        <w:rPr>
          <w:rStyle w:val="19"/>
          <w:rFonts w:ascii="仿宋" w:hAnsi="仿宋" w:eastAsia="仿宋" w:cs="仿宋"/>
          <w:lang w:val="zh-TW" w:eastAsia="zh-TW"/>
        </w:rPr>
        <w:t>赛项为团队竞技，赛事时长为5小时。参赛选手将在智慧新能源实训系统上完成某经济、工业园区或岛屿的光伏工程项目具有经济效益的可实现性规划，设计；对设计后的光伏电子工程项目中供能装置、储能装置、智能控制装置、负载装置等各组成部分，实现设备选型、安装部署、光伏电子控制模块的开发、光伏电子工程系统调试检测、及能源系统运行维护；以及能够在</w:t>
      </w:r>
      <w:r>
        <w:rPr>
          <w:rStyle w:val="14"/>
          <w:lang w:val="en-US"/>
        </w:rPr>
        <w:t>Vulcan EIss</w:t>
      </w:r>
      <w:r>
        <w:rPr>
          <w:rStyle w:val="19"/>
          <w:rFonts w:ascii="仿宋" w:hAnsi="仿宋" w:eastAsia="仿宋" w:cs="仿宋"/>
          <w:lang w:val="zh-TW" w:eastAsia="zh-TW"/>
        </w:rPr>
        <w:t>平台的辅助下，有效采集获取能源数据并反馈调整，创新性的完成项目任务。</w:t>
      </w:r>
    </w:p>
    <w:p>
      <w:pPr>
        <w:framePr w:w="0" w:wrap="auto" w:vAnchor="margin" w:hAnchor="text" w:yAlign="inline"/>
        <w:spacing w:line="500" w:lineRule="exact"/>
        <w:ind w:firstLine="560"/>
        <w:rPr>
          <w:rStyle w:val="19"/>
          <w:rFonts w:ascii="Arial" w:hAnsi="Arial" w:eastAsia="Arial" w:cs="Arial"/>
          <w:lang w:val="zh-TW" w:eastAsia="zh-TW"/>
        </w:rPr>
      </w:pPr>
      <w:r>
        <w:rPr>
          <w:rStyle w:val="19"/>
          <w:rFonts w:ascii="Arial" w:hAnsi="Arial"/>
          <w:lang w:val="zh-TW" w:eastAsia="zh-TW"/>
        </w:rPr>
        <w:t xml:space="preserve">New energy industry as one of the national strategic emerging industries, is closely related with the national people's livelihood, the industry demand and application field is very wide, has become a new economic model to build a country and reshape the nation's long-term competitiveness of driver. </w:t>
      </w:r>
      <w:r>
        <w:rPr>
          <w:rStyle w:val="19"/>
          <w:rFonts w:hint="default" w:ascii="Arial" w:hAnsi="Arial"/>
          <w:lang w:val="zh-TW" w:eastAsia="zh-TW"/>
        </w:rPr>
        <w:t>“</w:t>
      </w:r>
      <w:r>
        <w:rPr>
          <w:rStyle w:val="19"/>
          <w:rFonts w:ascii="Arial" w:hAnsi="Arial"/>
          <w:lang w:val="zh-TW" w:eastAsia="zh-TW"/>
        </w:rPr>
        <w:t>Internet + new energy</w:t>
      </w:r>
      <w:r>
        <w:rPr>
          <w:rStyle w:val="19"/>
          <w:rFonts w:hint="default" w:ascii="Arial" w:hAnsi="Arial"/>
          <w:lang w:val="zh-TW" w:eastAsia="zh-TW"/>
        </w:rPr>
        <w:t>”</w:t>
      </w:r>
      <w:r>
        <w:rPr>
          <w:rStyle w:val="19"/>
          <w:rFonts w:ascii="Arial" w:hAnsi="Arial"/>
          <w:lang w:val="zh-TW" w:eastAsia="zh-TW"/>
        </w:rPr>
        <w:t xml:space="preserve">PV engineering competition is to respond to the new energy industry in the next few years the rapid development of the needs of a large number of talents. Organization skills competition, to promote </w:t>
      </w:r>
      <w:r>
        <w:rPr>
          <w:rStyle w:val="19"/>
          <w:rFonts w:hint="default" w:ascii="Arial" w:hAnsi="Arial"/>
          <w:lang w:val="zh-TW" w:eastAsia="zh-TW"/>
        </w:rPr>
        <w:t>“</w:t>
      </w:r>
      <w:r>
        <w:rPr>
          <w:rStyle w:val="19"/>
          <w:rFonts w:ascii="Arial" w:hAnsi="Arial"/>
          <w:lang w:val="zh-TW" w:eastAsia="zh-TW"/>
        </w:rPr>
        <w:t>PV engineering technology</w:t>
      </w:r>
      <w:r>
        <w:rPr>
          <w:rStyle w:val="19"/>
          <w:rFonts w:hint="default" w:ascii="Arial" w:hAnsi="Arial"/>
          <w:lang w:val="zh-TW" w:eastAsia="zh-TW"/>
        </w:rPr>
        <w:t>”</w:t>
      </w:r>
      <w:r>
        <w:rPr>
          <w:rStyle w:val="19"/>
          <w:rFonts w:ascii="Arial" w:hAnsi="Arial"/>
          <w:lang w:val="zh-TW" w:eastAsia="zh-TW"/>
        </w:rPr>
        <w:t xml:space="preserve">subject construction and development of new energy professional, high-quality supply of education environment, promote industrial structure adjustment drive major setting and reform, the industrial technological progress drive mechanism, the implementation of the curriculum reform. </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Arial" w:hAnsi="Arial"/>
          <w:lang w:val="zh-TW" w:eastAsia="zh-TW"/>
        </w:rPr>
        <w:t>This competition is a team competition, competition time for 5 hours. Contestants will complete a certain economic, industrial park, or islands of new energy projects with economic benefits the realizability of planning and design on the Vulcan training system; Afterwards</w:t>
      </w:r>
      <w:r>
        <w:rPr>
          <w:rStyle w:val="19"/>
          <w:rFonts w:ascii="仿宋" w:hAnsi="仿宋" w:eastAsia="仿宋" w:cs="仿宋"/>
          <w:lang w:val="zh-TW" w:eastAsia="zh-TW"/>
        </w:rPr>
        <w:t>，</w:t>
      </w:r>
      <w:r>
        <w:rPr>
          <w:rStyle w:val="19"/>
          <w:rFonts w:ascii="Arial" w:hAnsi="Arial"/>
          <w:lang w:val="zh-TW" w:eastAsia="zh-TW"/>
        </w:rPr>
        <w:t>finish the equipment type selection, deployment and installation,  PV electronic control module development, PV engineering system debugging and testing</w:t>
      </w:r>
      <w:r>
        <w:rPr>
          <w:rStyle w:val="19"/>
          <w:rFonts w:ascii="仿宋" w:hAnsi="仿宋" w:eastAsia="仿宋" w:cs="仿宋"/>
          <w:lang w:val="zh-TW" w:eastAsia="zh-TW"/>
        </w:rPr>
        <w:t>，</w:t>
      </w:r>
      <w:r>
        <w:rPr>
          <w:rStyle w:val="19"/>
          <w:rFonts w:ascii="Arial" w:hAnsi="Arial"/>
          <w:lang w:val="zh-TW" w:eastAsia="zh-TW"/>
        </w:rPr>
        <w:t>and energy system operation maintenance</w:t>
      </w:r>
      <w:r>
        <w:rPr>
          <w:rStyle w:val="19"/>
          <w:rFonts w:ascii="仿宋" w:hAnsi="仿宋" w:eastAsia="仿宋" w:cs="仿宋"/>
          <w:lang w:val="zh-TW" w:eastAsia="zh-TW"/>
        </w:rPr>
        <w:t>，</w:t>
      </w:r>
      <w:r>
        <w:rPr>
          <w:rStyle w:val="19"/>
          <w:rFonts w:ascii="Arial" w:hAnsi="Arial"/>
          <w:lang w:val="zh-TW" w:eastAsia="zh-TW"/>
        </w:rPr>
        <w:t>in the part of the power device, storage device, the intelligent control device, load device and others various components from the new PV engineering projects</w:t>
      </w:r>
      <w:r>
        <w:rPr>
          <w:rStyle w:val="19"/>
          <w:rFonts w:ascii="仿宋" w:hAnsi="仿宋" w:eastAsia="仿宋" w:cs="仿宋"/>
          <w:lang w:val="zh-TW" w:eastAsia="zh-TW"/>
        </w:rPr>
        <w:t>。</w:t>
      </w:r>
      <w:r>
        <w:rPr>
          <w:rStyle w:val="19"/>
          <w:rFonts w:ascii="Arial" w:hAnsi="Arial"/>
          <w:lang w:val="zh-TW" w:eastAsia="zh-TW"/>
        </w:rPr>
        <w:t>In the end</w:t>
      </w:r>
      <w:r>
        <w:rPr>
          <w:rStyle w:val="19"/>
          <w:rFonts w:ascii="仿宋" w:hAnsi="仿宋" w:eastAsia="仿宋" w:cs="仿宋"/>
          <w:lang w:val="zh-TW" w:eastAsia="zh-TW"/>
        </w:rPr>
        <w:t>，</w:t>
      </w:r>
      <w:r>
        <w:rPr>
          <w:rStyle w:val="19"/>
          <w:rFonts w:ascii="Arial" w:hAnsi="Arial"/>
          <w:lang w:val="zh-TW" w:eastAsia="zh-TW"/>
        </w:rPr>
        <w:t>the project task should be finished innovative by effective obtains energy data collection and feedback adjustment in Vulcan EIss platform</w:t>
      </w:r>
      <w:r>
        <w:rPr>
          <w:rStyle w:val="19"/>
          <w:rFonts w:ascii="仿宋" w:hAnsi="仿宋" w:eastAsia="仿宋" w:cs="仿宋"/>
          <w:lang w:val="zh-TW" w:eastAsia="zh-TW"/>
        </w:rPr>
        <w:t>。</w:t>
      </w:r>
      <w:bookmarkEnd w:id="54"/>
    </w:p>
    <w:p>
      <w:pPr>
        <w:pStyle w:val="2"/>
        <w:framePr w:w="0" w:wrap="auto" w:vAnchor="margin" w:hAnchor="text" w:yAlign="inline"/>
        <w:rPr>
          <w:lang w:val="zh-TW" w:eastAsia="zh-TW"/>
        </w:rPr>
      </w:pPr>
      <w:bookmarkStart w:id="55" w:name="_Toc14276"/>
      <w:bookmarkStart w:id="56" w:name="_Toc25"/>
      <w:r>
        <w:rPr>
          <w:rFonts w:hint="eastAsia"/>
          <w:lang w:val="zh-TW" w:eastAsia="zh-CN"/>
        </w:rPr>
        <w:t>七、</w:t>
      </w:r>
      <w:r>
        <w:rPr>
          <w:lang w:val="zh-TW" w:eastAsia="zh-TW"/>
        </w:rPr>
        <w:t>竞赛方式</w:t>
      </w:r>
      <w:bookmarkEnd w:id="55"/>
      <w:bookmarkEnd w:id="56"/>
    </w:p>
    <w:p>
      <w:pPr>
        <w:framePr w:w="0" w:wrap="auto" w:vAnchor="margin" w:hAnchor="text" w:yAlign="inline"/>
        <w:spacing w:line="500" w:lineRule="exact"/>
      </w:pPr>
      <w:bookmarkStart w:id="57" w:name="OLE_LINK6"/>
      <w:r>
        <w:rPr>
          <w:rStyle w:val="14"/>
          <w:rFonts w:hint="eastAsia" w:eastAsia="宋体"/>
          <w:lang w:val="en-US" w:eastAsia="zh-CN"/>
        </w:rPr>
        <w:t xml:space="preserve">         </w:t>
      </w:r>
      <w:r>
        <w:rPr>
          <w:rStyle w:val="14"/>
          <w:lang w:val="en-US"/>
        </w:rPr>
        <w:t>(</w:t>
      </w:r>
      <w:r>
        <w:rPr>
          <w:rStyle w:val="19"/>
          <w:rFonts w:ascii="仿宋" w:hAnsi="仿宋" w:eastAsia="仿宋" w:cs="仿宋"/>
          <w:lang w:val="zh-TW" w:eastAsia="zh-TW"/>
        </w:rPr>
        <w:t>一</w:t>
      </w:r>
      <w:r>
        <w:rPr>
          <w:rStyle w:val="14"/>
          <w:lang w:val="en-US"/>
        </w:rPr>
        <w:t>)</w:t>
      </w:r>
      <w:r>
        <w:rPr>
          <w:rStyle w:val="19"/>
          <w:rFonts w:ascii="仿宋" w:hAnsi="仿宋" w:eastAsia="仿宋" w:cs="仿宋"/>
          <w:lang w:val="zh-TW" w:eastAsia="zh-TW"/>
        </w:rPr>
        <w:t>赛项采取团体比赛形式；</w:t>
      </w:r>
    </w:p>
    <w:p>
      <w:pPr>
        <w:framePr w:w="0" w:wrap="auto" w:vAnchor="margin" w:hAnchor="text" w:yAlign="inline"/>
        <w:spacing w:line="500" w:lineRule="exact"/>
        <w:ind w:firstLine="560"/>
      </w:pPr>
      <w:r>
        <w:rPr>
          <w:rStyle w:val="14"/>
          <w:lang w:val="en-US"/>
        </w:rPr>
        <w:t>(</w:t>
      </w:r>
      <w:r>
        <w:rPr>
          <w:rStyle w:val="19"/>
          <w:rFonts w:ascii="仿宋" w:hAnsi="仿宋" w:eastAsia="仿宋" w:cs="仿宋"/>
          <w:lang w:val="zh-TW" w:eastAsia="zh-TW"/>
        </w:rPr>
        <w:t>二</w:t>
      </w:r>
      <w:r>
        <w:rPr>
          <w:rStyle w:val="14"/>
          <w:lang w:val="en-US"/>
        </w:rPr>
        <w:t>)</w:t>
      </w:r>
      <w:r>
        <w:rPr>
          <w:rStyle w:val="19"/>
          <w:rFonts w:ascii="仿宋" w:hAnsi="仿宋" w:eastAsia="仿宋" w:cs="仿宋"/>
          <w:lang w:val="zh-TW" w:eastAsia="zh-TW"/>
        </w:rPr>
        <w:t>参赛队不得跨校组队，同一学校相同项目报名参赛队不超过</w:t>
      </w:r>
      <w:r>
        <w:rPr>
          <w:rStyle w:val="14"/>
          <w:lang w:val="en-US"/>
        </w:rPr>
        <w:t>1</w:t>
      </w:r>
      <w:r>
        <w:rPr>
          <w:rStyle w:val="19"/>
          <w:rFonts w:ascii="仿宋" w:hAnsi="仿宋" w:eastAsia="仿宋" w:cs="仿宋"/>
          <w:lang w:val="zh-TW" w:eastAsia="zh-TW"/>
        </w:rPr>
        <w:t>支；</w:t>
      </w:r>
    </w:p>
    <w:p>
      <w:pPr>
        <w:framePr w:w="0" w:wrap="auto" w:vAnchor="margin" w:hAnchor="text" w:yAlign="inline"/>
        <w:spacing w:line="500" w:lineRule="exact"/>
        <w:ind w:firstLine="560"/>
      </w:pPr>
      <w:r>
        <w:rPr>
          <w:rStyle w:val="14"/>
          <w:lang w:val="en-US"/>
        </w:rPr>
        <w:t>(</w:t>
      </w:r>
      <w:r>
        <w:rPr>
          <w:rStyle w:val="19"/>
          <w:rFonts w:ascii="仿宋" w:hAnsi="仿宋" w:eastAsia="仿宋" w:cs="仿宋"/>
          <w:lang w:val="zh-TW" w:eastAsia="zh-TW"/>
        </w:rPr>
        <w:t>三</w:t>
      </w:r>
      <w:r>
        <w:rPr>
          <w:rStyle w:val="14"/>
          <w:lang w:val="en-US"/>
        </w:rPr>
        <w:t>)</w:t>
      </w:r>
      <w:r>
        <w:rPr>
          <w:rStyle w:val="19"/>
          <w:rFonts w:ascii="仿宋" w:hAnsi="仿宋" w:eastAsia="仿宋" w:cs="仿宋"/>
          <w:lang w:val="zh-TW" w:eastAsia="zh-TW"/>
        </w:rPr>
        <w:t>每个参赛队由</w:t>
      </w:r>
      <w:r>
        <w:rPr>
          <w:rStyle w:val="15"/>
          <w:lang w:val="zh-TW" w:eastAsia="zh-TW"/>
        </w:rPr>
        <w:t>3</w:t>
      </w:r>
      <w:r>
        <w:rPr>
          <w:rStyle w:val="19"/>
          <w:rFonts w:ascii="仿宋" w:hAnsi="仿宋" w:eastAsia="仿宋" w:cs="仿宋"/>
          <w:lang w:val="zh-TW" w:eastAsia="zh-TW"/>
        </w:rPr>
        <w:t>名选手（设场上队长</w:t>
      </w:r>
      <w:r>
        <w:rPr>
          <w:rStyle w:val="15"/>
          <w:lang w:val="zh-TW" w:eastAsia="zh-TW"/>
        </w:rPr>
        <w:t>1</w:t>
      </w:r>
      <w:r>
        <w:rPr>
          <w:rStyle w:val="19"/>
          <w:rFonts w:ascii="仿宋" w:hAnsi="仿宋" w:eastAsia="仿宋" w:cs="仿宋"/>
          <w:lang w:val="zh-TW" w:eastAsia="zh-TW"/>
        </w:rPr>
        <w:t>名）和</w:t>
      </w:r>
      <w:r>
        <w:rPr>
          <w:rStyle w:val="15"/>
          <w:lang w:val="zh-TW" w:eastAsia="zh-TW"/>
        </w:rPr>
        <w:t>1-2</w:t>
      </w:r>
      <w:r>
        <w:rPr>
          <w:rStyle w:val="19"/>
          <w:rFonts w:ascii="仿宋" w:hAnsi="仿宋" w:eastAsia="仿宋" w:cs="仿宋"/>
          <w:lang w:val="zh-TW" w:eastAsia="zh-TW"/>
        </w:rPr>
        <w:t>名指导教师组成。参赛选手须为全日制高职或</w:t>
      </w:r>
      <w:r>
        <w:rPr>
          <w:rStyle w:val="14"/>
          <w:lang w:val="en-US"/>
        </w:rPr>
        <w:t>5</w:t>
      </w:r>
      <w:r>
        <w:rPr>
          <w:rStyle w:val="19"/>
          <w:rFonts w:ascii="仿宋" w:hAnsi="仿宋" w:eastAsia="仿宋" w:cs="仿宋"/>
          <w:lang w:val="zh-TW" w:eastAsia="zh-TW"/>
        </w:rPr>
        <w:t>年制高职（</w:t>
      </w:r>
      <w:r>
        <w:rPr>
          <w:rStyle w:val="14"/>
          <w:lang w:val="en-US"/>
        </w:rPr>
        <w:t>4</w:t>
      </w:r>
      <w:r>
        <w:rPr>
          <w:rStyle w:val="19"/>
          <w:rFonts w:ascii="仿宋" w:hAnsi="仿宋" w:eastAsia="仿宋" w:cs="仿宋"/>
          <w:lang w:val="zh-TW" w:eastAsia="zh-TW"/>
        </w:rPr>
        <w:t>年级及以上）在籍学生，选手年龄须不超过</w:t>
      </w:r>
      <w:r>
        <w:rPr>
          <w:rStyle w:val="15"/>
          <w:lang w:val="zh-TW" w:eastAsia="zh-TW"/>
        </w:rPr>
        <w:t>25</w:t>
      </w:r>
      <w:r>
        <w:rPr>
          <w:rStyle w:val="19"/>
          <w:rFonts w:ascii="仿宋" w:hAnsi="仿宋" w:eastAsia="仿宋" w:cs="仿宋"/>
          <w:lang w:val="zh-TW" w:eastAsia="zh-TW"/>
        </w:rPr>
        <w:t>周岁，年龄计算的截止时间以比赛当年的</w:t>
      </w:r>
      <w:r>
        <w:rPr>
          <w:rStyle w:val="15"/>
          <w:lang w:val="zh-TW" w:eastAsia="zh-TW"/>
        </w:rPr>
        <w:t>5</w:t>
      </w:r>
      <w:r>
        <w:rPr>
          <w:rStyle w:val="19"/>
          <w:rFonts w:ascii="仿宋" w:hAnsi="仿宋" w:eastAsia="仿宋" w:cs="仿宋"/>
          <w:lang w:val="zh-TW" w:eastAsia="zh-TW"/>
        </w:rPr>
        <w:t>月</w:t>
      </w:r>
      <w:r>
        <w:rPr>
          <w:rStyle w:val="15"/>
          <w:lang w:val="zh-TW" w:eastAsia="zh-TW"/>
        </w:rPr>
        <w:t>1</w:t>
      </w:r>
      <w:r>
        <w:rPr>
          <w:rStyle w:val="19"/>
          <w:rFonts w:ascii="仿宋" w:hAnsi="仿宋" w:eastAsia="仿宋" w:cs="仿宋"/>
          <w:lang w:val="zh-TW" w:eastAsia="zh-TW"/>
        </w:rPr>
        <w:t>日为准；指导教师须为本校专兼职教师</w:t>
      </w:r>
      <w:r>
        <w:rPr>
          <w:rStyle w:val="15"/>
          <w:lang w:val="zh-TW" w:eastAsia="zh-TW"/>
        </w:rPr>
        <w:t>;</w:t>
      </w:r>
    </w:p>
    <w:p>
      <w:pPr>
        <w:framePr w:w="0" w:wrap="auto" w:vAnchor="margin" w:hAnchor="text" w:yAlign="inline"/>
        <w:spacing w:line="500" w:lineRule="exact"/>
        <w:ind w:firstLine="560"/>
        <w:rPr>
          <w:rStyle w:val="15"/>
          <w:lang w:val="zh-TW" w:eastAsia="zh-TW"/>
        </w:rPr>
      </w:pPr>
      <w:r>
        <w:rPr>
          <w:rStyle w:val="15"/>
          <w:lang w:val="zh-TW" w:eastAsia="zh-TW"/>
        </w:rPr>
        <w:t>(</w:t>
      </w:r>
      <w:r>
        <w:rPr>
          <w:rStyle w:val="19"/>
          <w:rFonts w:ascii="仿宋" w:hAnsi="仿宋" w:eastAsia="仿宋" w:cs="仿宋"/>
          <w:lang w:val="zh-TW" w:eastAsia="zh-TW"/>
        </w:rPr>
        <w:t>四</w:t>
      </w:r>
      <w:r>
        <w:rPr>
          <w:rStyle w:val="15"/>
          <w:lang w:val="zh-TW" w:eastAsia="zh-TW"/>
        </w:rPr>
        <w:t>)</w:t>
      </w:r>
      <w:r>
        <w:rPr>
          <w:rStyle w:val="19"/>
          <w:rFonts w:ascii="仿宋" w:hAnsi="仿宋" w:eastAsia="仿宋" w:cs="仿宋"/>
          <w:lang w:val="zh-TW" w:eastAsia="zh-TW"/>
        </w:rPr>
        <w:t>凡在往届全国职业院校技能大赛中获得一等奖的选手，不能再参加同一项目同一组别的比赛；</w:t>
      </w:r>
    </w:p>
    <w:p>
      <w:pPr>
        <w:framePr w:w="0" w:wrap="auto" w:vAnchor="margin" w:hAnchor="text" w:yAlign="inline"/>
        <w:spacing w:line="500" w:lineRule="exact"/>
        <w:ind w:firstLine="560"/>
        <w:rPr>
          <w:rStyle w:val="15"/>
          <w:lang w:val="zh-TW" w:eastAsia="zh-TW"/>
        </w:rPr>
      </w:pPr>
      <w:r>
        <w:rPr>
          <w:rStyle w:val="15"/>
          <w:lang w:val="zh-TW" w:eastAsia="zh-TW"/>
        </w:rPr>
        <w:t>(</w:t>
      </w:r>
      <w:r>
        <w:rPr>
          <w:rStyle w:val="19"/>
          <w:rFonts w:ascii="仿宋" w:hAnsi="仿宋" w:eastAsia="仿宋" w:cs="仿宋"/>
          <w:lang w:val="zh-TW" w:eastAsia="zh-TW"/>
        </w:rPr>
        <w:t>五</w:t>
      </w:r>
      <w:r>
        <w:rPr>
          <w:rStyle w:val="15"/>
          <w:lang w:val="zh-TW" w:eastAsia="zh-TW"/>
        </w:rPr>
        <w:t>)3</w:t>
      </w:r>
      <w:r>
        <w:rPr>
          <w:rStyle w:val="19"/>
          <w:rFonts w:ascii="仿宋" w:hAnsi="仿宋" w:eastAsia="仿宋" w:cs="仿宋"/>
          <w:lang w:val="zh-TW" w:eastAsia="zh-TW"/>
        </w:rPr>
        <w:t>名选手在竞赛现场按照竞赛任务要求，相互配合完成竞赛任务；</w:t>
      </w:r>
    </w:p>
    <w:p>
      <w:pPr>
        <w:framePr w:w="0" w:wrap="auto" w:vAnchor="margin" w:hAnchor="text" w:yAlign="inline"/>
        <w:numPr>
          <w:ilvl w:val="0"/>
          <w:numId w:val="1"/>
        </w:numPr>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本赛项将邀请境外代表队参赛。</w:t>
      </w:r>
      <w:bookmarkEnd w:id="57"/>
    </w:p>
    <w:p>
      <w:pPr>
        <w:pStyle w:val="3"/>
        <w:framePr w:w="0" w:wrap="auto" w:vAnchor="margin" w:hAnchor="text" w:yAlign="inline"/>
        <w:numPr>
          <w:ilvl w:val="0"/>
          <w:numId w:val="0"/>
        </w:numPr>
        <w:ind w:leftChars="0" w:right="0" w:rightChars="0"/>
        <w:rPr>
          <w:rFonts w:hint="eastAsia"/>
          <w:lang w:val="zh-TW" w:eastAsia="zh-CN"/>
        </w:rPr>
      </w:pPr>
      <w:bookmarkStart w:id="58" w:name="_Toc27"/>
      <w:bookmarkStart w:id="59" w:name="_Toc26"/>
      <w:bookmarkStart w:id="60" w:name="_Toc10505"/>
      <w:bookmarkStart w:id="61" w:name="OLE_LINK7"/>
    </w:p>
    <w:p>
      <w:pPr>
        <w:pStyle w:val="3"/>
        <w:framePr w:w="0" w:wrap="auto" w:vAnchor="margin" w:hAnchor="text" w:yAlign="inline"/>
        <w:numPr>
          <w:ilvl w:val="0"/>
          <w:numId w:val="0"/>
        </w:numPr>
        <w:ind w:leftChars="0" w:right="0" w:rightChars="0"/>
        <w:rPr>
          <w:lang w:val="zh-TW" w:eastAsia="zh-TW"/>
        </w:rPr>
      </w:pPr>
      <w:r>
        <w:rPr>
          <w:rFonts w:hint="eastAsia"/>
          <w:lang w:val="zh-TW" w:eastAsia="zh-CN"/>
        </w:rPr>
        <w:t>八、</w:t>
      </w:r>
      <w:r>
        <w:rPr>
          <w:lang w:val="zh-TW" w:eastAsia="zh-TW"/>
        </w:rPr>
        <w:t>竞赛时间安排与流程</w:t>
      </w:r>
      <w:bookmarkEnd w:id="58"/>
      <w:bookmarkEnd w:id="59"/>
      <w:bookmarkEnd w:id="60"/>
    </w:p>
    <w:p>
      <w:pPr>
        <w:pStyle w:val="3"/>
        <w:framePr w:w="0" w:wrap="auto" w:vAnchor="margin" w:hAnchor="text" w:yAlign="inline"/>
        <w:numPr>
          <w:ilvl w:val="0"/>
          <w:numId w:val="0"/>
        </w:numPr>
        <w:ind w:leftChars="0" w:right="0" w:rightChars="0"/>
        <w:rPr>
          <w:lang w:val="zh-TW" w:eastAsia="zh-TW"/>
        </w:rPr>
      </w:pPr>
      <w:bookmarkStart w:id="62" w:name="_Toc9358"/>
      <w:r>
        <w:rPr>
          <w:rFonts w:hint="eastAsia"/>
          <w:lang w:val="zh-TW" w:eastAsia="zh-CN"/>
        </w:rPr>
        <w:t>（一）</w:t>
      </w:r>
      <w:r>
        <w:rPr>
          <w:lang w:val="zh-TW" w:eastAsia="zh-TW"/>
        </w:rPr>
        <w:t>时间安排</w:t>
      </w:r>
      <w:bookmarkEnd w:id="62"/>
    </w:p>
    <w:p>
      <w:pPr>
        <w:keepNext w:val="0"/>
        <w:keepLines w:val="0"/>
        <w:pageBreakBefore w:val="0"/>
        <w:framePr w:w="0" w:wrap="auto" w:vAnchor="margin" w:hAnchor="text" w:yAlign="inline"/>
        <w:widowControl w:val="0"/>
        <w:numPr>
          <w:ilvl w:val="0"/>
          <w:numId w:val="0"/>
        </w:numPr>
        <w:tabs>
          <w:tab w:val="left" w:pos="2646"/>
        </w:tabs>
        <w:kinsoku/>
        <w:wordWrap/>
        <w:overflowPunct/>
        <w:topLinePunct w:val="0"/>
        <w:autoSpaceDE/>
        <w:autoSpaceDN/>
        <w:bidi w:val="0"/>
        <w:adjustRightInd/>
        <w:snapToGrid/>
        <w:spacing w:before="0" w:after="0" w:line="240" w:lineRule="auto"/>
        <w:ind w:leftChars="0" w:right="0" w:rightChars="0"/>
        <w:jc w:val="both"/>
        <w:textAlignment w:val="auto"/>
        <w:outlineLvl w:val="9"/>
        <w:rPr>
          <w:rStyle w:val="19"/>
          <w:rFonts w:ascii="仿宋" w:hAnsi="仿宋" w:eastAsia="仿宋" w:cs="仿宋"/>
          <w:lang w:val="zh-TW" w:eastAsia="zh-TW"/>
        </w:rPr>
      </w:pPr>
      <w:r>
        <w:rPr>
          <w:rStyle w:val="19"/>
          <w:rFonts w:ascii="仿宋" w:hAnsi="仿宋" w:eastAsia="仿宋" w:cs="仿宋"/>
          <w:lang w:val="zh-TW" w:eastAsia="zh-TW"/>
        </w:rPr>
        <w:t>竞赛时间安排：5小时；</w:t>
      </w:r>
    </w:p>
    <w:p>
      <w:pPr>
        <w:framePr w:w="0" w:wrap="auto" w:vAnchor="margin" w:hAnchor="text" w:yAlign="inline"/>
        <w:tabs>
          <w:tab w:val="left" w:pos="2646"/>
        </w:tabs>
        <w:jc w:val="both"/>
        <w:rPr>
          <w:rFonts w:ascii="仿宋" w:hAnsi="仿宋" w:eastAsia="仿宋" w:cs="仿宋"/>
        </w:rPr>
      </w:pPr>
    </w:p>
    <w:tbl>
      <w:tblPr>
        <w:tblStyle w:val="12"/>
        <w:tblpPr w:leftFromText="180" w:rightFromText="180" w:vertAnchor="text" w:horzAnchor="page" w:tblpX="1961" w:tblpY="218"/>
        <w:tblOverlap w:val="never"/>
        <w:tblW w:w="7949"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1277"/>
        <w:gridCol w:w="4916"/>
        <w:gridCol w:w="175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53"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b/>
                <w:bCs/>
                <w:sz w:val="24"/>
                <w:szCs w:val="24"/>
                <w:lang w:val="zh-TW" w:eastAsia="zh-TW"/>
              </w:rPr>
              <w:t>日期</w:t>
            </w: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b/>
                <w:bCs/>
                <w:sz w:val="24"/>
                <w:szCs w:val="24"/>
                <w:lang w:val="zh-TW" w:eastAsia="zh-TW"/>
              </w:rPr>
              <w:t>事项安排</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jc w:val="center"/>
            </w:pPr>
            <w:r>
              <w:rPr>
                <w:rStyle w:val="19"/>
                <w:rFonts w:ascii="仿宋" w:hAnsi="仿宋" w:eastAsia="仿宋" w:cs="仿宋"/>
                <w:b/>
                <w:bCs/>
                <w:sz w:val="24"/>
                <w:szCs w:val="24"/>
                <w:lang w:val="zh-TW" w:eastAsia="zh-TW"/>
              </w:rPr>
              <w:t>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b/>
                <w:bCs/>
                <w:sz w:val="24"/>
                <w:szCs w:val="24"/>
                <w:lang w:val="zh-TW" w:eastAsia="zh-TW"/>
              </w:rPr>
              <w:t>第一天</w:t>
            </w: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参赛队报到注册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选手说明会</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15:00-15:30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熟悉赛场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15:30-16:30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b/>
                <w:bCs/>
                <w:sz w:val="24"/>
                <w:szCs w:val="24"/>
                <w:lang w:val="zh-TW" w:eastAsia="zh-TW"/>
              </w:rPr>
              <w:t>第二天</w:t>
            </w: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选手到场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7:30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 xml:space="preserve">检录、二次加密及入场  </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7:30-8:30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赛前</w:t>
            </w:r>
            <w:r>
              <w:rPr>
                <w:rStyle w:val="19"/>
                <w:rFonts w:ascii="仿宋" w:hAnsi="仿宋" w:eastAsia="仿宋" w:cs="仿宋"/>
                <w:sz w:val="24"/>
                <w:szCs w:val="24"/>
                <w:lang w:val="en-US"/>
              </w:rPr>
              <w:t>30</w:t>
            </w:r>
            <w:r>
              <w:rPr>
                <w:rStyle w:val="19"/>
                <w:rFonts w:ascii="仿宋" w:hAnsi="仿宋" w:eastAsia="仿宋" w:cs="仿宋"/>
                <w:sz w:val="24"/>
                <w:szCs w:val="24"/>
                <w:lang w:val="zh-TW" w:eastAsia="zh-TW"/>
              </w:rPr>
              <w:t>钟准备</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8:30-9:00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比赛时间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9:00-1</w:t>
            </w:r>
            <w:r>
              <w:rPr>
                <w:rStyle w:val="19"/>
                <w:rFonts w:hint="eastAsia" w:ascii="仿宋" w:hAnsi="仿宋" w:eastAsia="仿宋" w:cs="仿宋"/>
                <w:sz w:val="24"/>
                <w:szCs w:val="24"/>
                <w:lang w:val="en-US" w:eastAsia="zh-CN"/>
              </w:rPr>
              <w:t>4</w:t>
            </w:r>
            <w:r>
              <w:rPr>
                <w:rStyle w:val="19"/>
                <w:rFonts w:ascii="仿宋" w:hAnsi="仿宋" w:eastAsia="仿宋" w:cs="仿宋"/>
                <w:sz w:val="24"/>
                <w:szCs w:val="24"/>
                <w:lang w:val="en-US"/>
              </w:rPr>
              <w:t>:00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参赛代表队离场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1</w:t>
            </w:r>
            <w:r>
              <w:rPr>
                <w:rStyle w:val="19"/>
                <w:rFonts w:hint="eastAsia" w:ascii="仿宋" w:hAnsi="仿宋" w:eastAsia="仿宋" w:cs="仿宋"/>
                <w:sz w:val="24"/>
                <w:szCs w:val="24"/>
                <w:lang w:val="en-US" w:eastAsia="zh-CN"/>
              </w:rPr>
              <w:t>4</w:t>
            </w:r>
            <w:r>
              <w:rPr>
                <w:rStyle w:val="19"/>
                <w:rFonts w:ascii="仿宋" w:hAnsi="仿宋" w:eastAsia="仿宋" w:cs="仿宋"/>
                <w:sz w:val="24"/>
                <w:szCs w:val="24"/>
                <w:lang w:val="en-US"/>
              </w:rPr>
              <w:t>:00-1</w:t>
            </w:r>
            <w:r>
              <w:rPr>
                <w:rStyle w:val="19"/>
                <w:rFonts w:hint="eastAsia" w:ascii="仿宋" w:hAnsi="仿宋" w:eastAsia="仿宋" w:cs="仿宋"/>
                <w:sz w:val="24"/>
                <w:szCs w:val="24"/>
                <w:lang w:val="en-US" w:eastAsia="zh-CN"/>
              </w:rPr>
              <w:t>4</w:t>
            </w:r>
            <w:r>
              <w:rPr>
                <w:rStyle w:val="19"/>
                <w:rFonts w:ascii="仿宋" w:hAnsi="仿宋" w:eastAsia="仿宋" w:cs="仿宋"/>
                <w:sz w:val="24"/>
                <w:szCs w:val="24"/>
                <w:lang w:val="en-US"/>
              </w:rPr>
              <w:t>:30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赛项申诉与仲裁</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1</w:t>
            </w:r>
            <w:r>
              <w:rPr>
                <w:rStyle w:val="19"/>
                <w:rFonts w:hint="eastAsia" w:ascii="仿宋" w:hAnsi="仿宋" w:eastAsia="仿宋" w:cs="仿宋"/>
                <w:sz w:val="24"/>
                <w:szCs w:val="24"/>
                <w:lang w:val="en-US" w:eastAsia="zh-CN"/>
              </w:rPr>
              <w:t>4</w:t>
            </w:r>
            <w:r>
              <w:rPr>
                <w:rStyle w:val="19"/>
                <w:rFonts w:ascii="仿宋" w:hAnsi="仿宋" w:eastAsia="仿宋" w:cs="仿宋"/>
                <w:sz w:val="24"/>
                <w:szCs w:val="24"/>
                <w:lang w:val="en-US"/>
              </w:rPr>
              <w:t>:30-1</w:t>
            </w:r>
            <w:r>
              <w:rPr>
                <w:rStyle w:val="19"/>
                <w:rFonts w:hint="eastAsia" w:ascii="仿宋" w:hAnsi="仿宋" w:eastAsia="仿宋" w:cs="仿宋"/>
                <w:sz w:val="24"/>
                <w:szCs w:val="24"/>
                <w:lang w:val="en-US" w:eastAsia="zh-CN"/>
              </w:rPr>
              <w:t>6</w:t>
            </w:r>
            <w:r>
              <w:rPr>
                <w:rStyle w:val="19"/>
                <w:rFonts w:ascii="仿宋" w:hAnsi="仿宋" w:eastAsia="仿宋" w:cs="仿宋"/>
                <w:sz w:val="24"/>
                <w:szCs w:val="24"/>
                <w:lang w:val="en-US"/>
              </w:rPr>
              <w:t>:30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vMerge w:val="continue"/>
            <w:tcBorders>
              <w:top w:val="single" w:color="000000" w:sz="4" w:space="0"/>
              <w:left w:val="single" w:color="000000" w:sz="4" w:space="0"/>
              <w:bottom w:val="single" w:color="000000" w:sz="4" w:space="0"/>
              <w:right w:val="single" w:color="000000" w:sz="4" w:space="0"/>
            </w:tcBorders>
            <w:shd w:val="clear" w:color="auto" w:fill="auto"/>
          </w:tcPr>
          <w:p>
            <w:pPr>
              <w:framePr w:w="0" w:wrap="auto" w:vAnchor="margin" w:hAnchor="text" w:yAlign="inline"/>
            </w:pP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裁判评分  成绩复核确认  录入上报</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1</w:t>
            </w:r>
            <w:r>
              <w:rPr>
                <w:rStyle w:val="19"/>
                <w:rFonts w:hint="eastAsia" w:ascii="仿宋" w:hAnsi="仿宋" w:eastAsia="仿宋" w:cs="仿宋"/>
                <w:sz w:val="24"/>
                <w:szCs w:val="24"/>
                <w:lang w:val="en-US" w:eastAsia="zh-CN"/>
              </w:rPr>
              <w:t>6</w:t>
            </w:r>
            <w:r>
              <w:rPr>
                <w:rStyle w:val="19"/>
                <w:rFonts w:ascii="仿宋" w:hAnsi="仿宋" w:eastAsia="仿宋" w:cs="仿宋"/>
                <w:sz w:val="24"/>
                <w:szCs w:val="24"/>
                <w:lang w:val="en-US"/>
              </w:rPr>
              <w:t>:30-1</w:t>
            </w:r>
            <w:r>
              <w:rPr>
                <w:rStyle w:val="19"/>
                <w:rFonts w:hint="eastAsia" w:ascii="仿宋" w:hAnsi="仿宋" w:eastAsia="仿宋" w:cs="仿宋"/>
                <w:sz w:val="24"/>
                <w:szCs w:val="24"/>
                <w:lang w:val="en-US" w:eastAsia="zh-CN"/>
              </w:rPr>
              <w:t>9</w:t>
            </w:r>
            <w:r>
              <w:rPr>
                <w:rStyle w:val="19"/>
                <w:rFonts w:ascii="仿宋" w:hAnsi="仿宋" w:eastAsia="仿宋" w:cs="仿宋"/>
                <w:sz w:val="24"/>
                <w:szCs w:val="24"/>
                <w:lang w:val="en-US"/>
              </w:rPr>
              <w:t>:30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40" w:hRule="exac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b/>
                <w:bCs/>
                <w:sz w:val="24"/>
                <w:szCs w:val="24"/>
                <w:lang w:val="zh-TW" w:eastAsia="zh-TW"/>
              </w:rPr>
              <w:t>第三天</w:t>
            </w:r>
          </w:p>
        </w:tc>
        <w:tc>
          <w:tcPr>
            <w:tcW w:w="49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4"/>
                <w:szCs w:val="24"/>
                <w:lang w:val="zh-TW" w:eastAsia="zh-TW"/>
              </w:rPr>
              <w:t>闭幕式 成绩公布</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pPr>
            <w:r>
              <w:rPr>
                <w:rStyle w:val="19"/>
                <w:rFonts w:ascii="仿宋" w:hAnsi="仿宋" w:eastAsia="仿宋" w:cs="仿宋"/>
                <w:sz w:val="24"/>
                <w:szCs w:val="24"/>
                <w:lang w:val="en-US"/>
              </w:rPr>
              <w:t>——</w:t>
            </w:r>
            <w:bookmarkStart w:id="117" w:name="_GoBack"/>
            <w:bookmarkEnd w:id="117"/>
          </w:p>
        </w:tc>
      </w:tr>
    </w:tbl>
    <w:p>
      <w:pPr>
        <w:framePr w:w="0" w:wrap="auto" w:vAnchor="margin" w:hAnchor="text" w:yAlign="inline"/>
        <w:tabs>
          <w:tab w:val="left" w:pos="2646"/>
        </w:tabs>
        <w:ind w:firstLine="570"/>
        <w:rPr>
          <w:rFonts w:ascii="仿宋" w:hAnsi="仿宋" w:eastAsia="仿宋" w:cs="仿宋"/>
        </w:rPr>
      </w:pPr>
    </w:p>
    <w:p>
      <w:pPr>
        <w:pStyle w:val="3"/>
        <w:framePr w:w="0" w:wrap="auto" w:vAnchor="margin" w:hAnchor="text" w:yAlign="inline"/>
      </w:pPr>
      <w:bookmarkStart w:id="63" w:name="_Toc26545"/>
      <w:bookmarkStart w:id="64" w:name="_Toc28"/>
      <w:r>
        <w:rPr>
          <w:lang w:val="en-US"/>
        </w:rPr>
        <w:t>(</w:t>
      </w:r>
      <w:r>
        <w:rPr>
          <w:lang w:val="zh-TW" w:eastAsia="zh-TW"/>
        </w:rPr>
        <w:t>二</w:t>
      </w:r>
      <w:r>
        <w:rPr>
          <w:lang w:val="en-US"/>
        </w:rPr>
        <w:t xml:space="preserve">) </w:t>
      </w:r>
      <w:r>
        <w:rPr>
          <w:lang w:val="zh-TW" w:eastAsia="zh-TW"/>
        </w:rPr>
        <w:t>竞赛流程图</w:t>
      </w:r>
      <w:bookmarkEnd w:id="63"/>
    </w:p>
    <w:p>
      <w:pPr>
        <w:pStyle w:val="3"/>
        <w:framePr w:w="0" w:wrap="auto" w:vAnchor="margin" w:hAnchor="text" w:yAlign="inline"/>
        <w:rPr>
          <w:rStyle w:val="14"/>
          <w:lang w:val="en-US"/>
        </w:rPr>
      </w:pPr>
    </w:p>
    <w:bookmarkEnd w:id="64"/>
    <w:p>
      <w:pPr>
        <w:framePr w:w="0" w:wrap="auto" w:vAnchor="margin" w:hAnchor="text" w:yAlign="inline"/>
        <w:tabs>
          <w:tab w:val="left" w:pos="1189"/>
        </w:tabs>
        <w:ind w:firstLine="570"/>
        <w:jc w:val="center"/>
        <w:rPr>
          <w:rStyle w:val="19"/>
          <w:rFonts w:ascii="仿宋" w:hAnsi="仿宋" w:eastAsia="仿宋" w:cs="仿宋"/>
        </w:rPr>
      </w:pPr>
      <w:r>
        <w:rPr>
          <w:rStyle w:val="19"/>
          <w:rFonts w:ascii="仿宋" w:hAnsi="仿宋" w:eastAsia="仿宋" w:cs="仿宋"/>
        </w:rPr>
        <w:drawing>
          <wp:inline distT="0" distB="0" distL="0" distR="0">
            <wp:extent cx="4268470" cy="5398770"/>
            <wp:effectExtent l="0" t="0" r="0" b="0"/>
            <wp:docPr id="1073741826" name="officeArt object" descr="65342708915754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653427089157549667"/>
                    <pic:cNvPicPr>
                      <a:picLocks noChangeAspect="1"/>
                    </pic:cNvPicPr>
                  </pic:nvPicPr>
                  <pic:blipFill>
                    <a:blip r:embed="rId9"/>
                    <a:stretch>
                      <a:fillRect/>
                    </a:stretch>
                  </pic:blipFill>
                  <pic:spPr>
                    <a:xfrm>
                      <a:off x="0" y="0"/>
                      <a:ext cx="4268471" cy="5398771"/>
                    </a:xfrm>
                    <a:prstGeom prst="rect">
                      <a:avLst/>
                    </a:prstGeom>
                    <a:ln w="12700" cap="flat">
                      <a:noFill/>
                      <a:miter lim="400000"/>
                      <a:headEnd/>
                      <a:tailEnd/>
                    </a:ln>
                    <a:effectLst/>
                  </pic:spPr>
                </pic:pic>
              </a:graphicData>
            </a:graphic>
          </wp:inline>
        </w:drawing>
      </w:r>
    </w:p>
    <w:bookmarkEnd w:id="61"/>
    <w:p>
      <w:pPr>
        <w:framePr w:w="0" w:wrap="auto" w:vAnchor="margin" w:hAnchor="text" w:yAlign="inline"/>
        <w:rPr>
          <w:rStyle w:val="19"/>
          <w:rFonts w:ascii="仿宋" w:hAnsi="仿宋" w:eastAsia="仿宋" w:cs="仿宋"/>
          <w:lang w:val="zh-TW" w:eastAsia="zh-TW"/>
        </w:rPr>
      </w:pPr>
    </w:p>
    <w:p>
      <w:pPr>
        <w:framePr w:w="0" w:wrap="auto" w:vAnchor="margin" w:hAnchor="text" w:yAlign="inline"/>
        <w:ind w:firstLine="560"/>
        <w:rPr>
          <w:rStyle w:val="19"/>
          <w:rFonts w:ascii="仿宋" w:hAnsi="仿宋" w:eastAsia="仿宋" w:cs="仿宋"/>
          <w:lang w:val="zh-TW" w:eastAsia="zh-TW"/>
        </w:rPr>
      </w:pPr>
    </w:p>
    <w:p>
      <w:pPr>
        <w:pStyle w:val="2"/>
        <w:framePr w:w="0" w:wrap="auto" w:vAnchor="margin" w:hAnchor="text" w:yAlign="inline"/>
        <w:rPr>
          <w:lang w:val="zh-TW" w:eastAsia="zh-TW"/>
        </w:rPr>
      </w:pPr>
      <w:bookmarkStart w:id="65" w:name="_Toc21029"/>
      <w:bookmarkStart w:id="66" w:name="_Toc29"/>
      <w:r>
        <w:rPr>
          <w:rFonts w:hint="eastAsia"/>
          <w:lang w:val="zh-TW" w:eastAsia="zh-CN"/>
        </w:rPr>
        <w:t>九、</w:t>
      </w:r>
      <w:r>
        <w:rPr>
          <w:lang w:val="zh-TW" w:eastAsia="zh-TW"/>
        </w:rPr>
        <w:t>竞赛试题</w:t>
      </w:r>
      <w:bookmarkEnd w:id="65"/>
      <w:bookmarkEnd w:id="66"/>
    </w:p>
    <w:p>
      <w:pPr>
        <w:framePr w:w="0" w:wrap="auto" w:vAnchor="margin" w:hAnchor="text" w:yAlign="inline"/>
        <w:ind w:firstLine="560"/>
        <w:rPr>
          <w:rStyle w:val="19"/>
          <w:rFonts w:ascii="仿宋" w:hAnsi="仿宋" w:eastAsia="仿宋" w:cs="仿宋"/>
          <w:lang w:val="zh-TW" w:eastAsia="zh-TW"/>
        </w:rPr>
      </w:pPr>
      <w:r>
        <w:rPr>
          <w:rStyle w:val="19"/>
          <w:rFonts w:ascii="仿宋" w:hAnsi="仿宋" w:eastAsia="仿宋" w:cs="仿宋"/>
          <w:lang w:val="zh-TW" w:eastAsia="zh-TW"/>
        </w:rPr>
        <w:t>详见附件1《光伏电子工程的设计与实施》赛项任务（样题）</w:t>
      </w:r>
    </w:p>
    <w:p>
      <w:pPr>
        <w:framePr w:w="0" w:wrap="auto" w:vAnchor="margin" w:hAnchor="text" w:yAlign="inline"/>
        <w:rPr>
          <w:rStyle w:val="19"/>
          <w:rFonts w:ascii="仿宋" w:hAnsi="仿宋" w:eastAsia="仿宋" w:cs="仿宋"/>
          <w:lang w:val="zh-TW" w:eastAsia="zh-TW"/>
        </w:rPr>
      </w:pPr>
    </w:p>
    <w:p>
      <w:pPr>
        <w:framePr w:w="0" w:wrap="auto" w:vAnchor="margin" w:hAnchor="text" w:yAlign="inline"/>
        <w:ind w:firstLine="560"/>
        <w:rPr>
          <w:rStyle w:val="19"/>
          <w:rFonts w:ascii="仿宋" w:hAnsi="仿宋" w:eastAsia="仿宋" w:cs="仿宋"/>
          <w:lang w:val="zh-TW" w:eastAsia="zh-TW"/>
        </w:rPr>
      </w:pPr>
    </w:p>
    <w:p>
      <w:pPr>
        <w:pStyle w:val="2"/>
        <w:framePr w:w="0" w:wrap="auto" w:vAnchor="margin" w:hAnchor="text" w:yAlign="inline"/>
        <w:rPr>
          <w:lang w:val="zh-TW" w:eastAsia="zh-TW"/>
        </w:rPr>
      </w:pPr>
      <w:bookmarkStart w:id="67" w:name="_Toc14429"/>
      <w:bookmarkStart w:id="68" w:name="_Toc30"/>
      <w:r>
        <w:rPr>
          <w:rFonts w:hint="eastAsia"/>
          <w:lang w:val="zh-TW" w:eastAsia="zh-CN"/>
        </w:rPr>
        <w:t>十、</w:t>
      </w:r>
      <w:r>
        <w:rPr>
          <w:lang w:val="zh-TW" w:eastAsia="zh-TW"/>
        </w:rPr>
        <w:t>评分标准制定原则、评分方法、评分细则</w:t>
      </w:r>
      <w:bookmarkEnd w:id="67"/>
      <w:bookmarkEnd w:id="68"/>
    </w:p>
    <w:p>
      <w:pPr>
        <w:framePr w:w="0" w:wrap="auto" w:vAnchor="margin" w:hAnchor="text" w:yAlign="inline"/>
        <w:spacing w:line="500" w:lineRule="exact"/>
        <w:rPr>
          <w:rStyle w:val="27"/>
          <w:lang w:val="zh-TW" w:eastAsia="zh-TW"/>
        </w:rPr>
      </w:pPr>
      <w:bookmarkStart w:id="69" w:name="_Toc31"/>
      <w:r>
        <w:rPr>
          <w:b/>
          <w:bCs/>
          <w:lang w:val="zh-TW" w:eastAsia="zh-TW"/>
        </w:rPr>
        <w:t>（</w:t>
      </w:r>
      <w:r>
        <w:rPr>
          <w:rStyle w:val="27"/>
          <w:lang w:val="zh-TW" w:eastAsia="zh-TW"/>
        </w:rPr>
        <w:t>一）评分标准制定原则：</w:t>
      </w:r>
      <w:bookmarkEnd w:id="69"/>
    </w:p>
    <w:p>
      <w:pPr>
        <w:framePr w:w="0" w:wrap="auto" w:vAnchor="margin" w:hAnchor="text" w:yAlign="inline"/>
        <w:spacing w:line="500" w:lineRule="exact"/>
        <w:ind w:firstLine="560"/>
        <w:rPr>
          <w:rStyle w:val="19"/>
          <w:rFonts w:ascii="仿宋" w:hAnsi="仿宋" w:eastAsia="仿宋" w:cs="仿宋"/>
          <w:lang w:val="zh-TW" w:eastAsia="zh-TW"/>
        </w:rPr>
      </w:pPr>
    </w:p>
    <w:p>
      <w:pPr>
        <w:framePr w:w="0" w:wrap="auto" w:vAnchor="margin" w:hAnchor="text" w:yAlign="inline"/>
        <w:spacing w:line="500" w:lineRule="exact"/>
        <w:ind w:firstLine="560"/>
      </w:pPr>
      <w:r>
        <w:rPr>
          <w:rStyle w:val="19"/>
          <w:rFonts w:ascii="仿宋" w:hAnsi="仿宋" w:eastAsia="仿宋" w:cs="仿宋"/>
          <w:lang w:val="zh-TW" w:eastAsia="zh-TW"/>
        </w:rPr>
        <w:t>遵循《</w:t>
      </w:r>
      <w:r>
        <w:rPr>
          <w:rStyle w:val="15"/>
          <w:lang w:val="zh-TW" w:eastAsia="zh-TW"/>
        </w:rPr>
        <w:t>201</w:t>
      </w:r>
      <w:r>
        <w:rPr>
          <w:rStyle w:val="14"/>
          <w:lang w:val="en-US"/>
        </w:rPr>
        <w:t>7</w:t>
      </w:r>
      <w:r>
        <w:rPr>
          <w:rStyle w:val="19"/>
          <w:rFonts w:ascii="仿宋" w:hAnsi="仿宋" w:eastAsia="仿宋" w:cs="仿宋"/>
          <w:lang w:val="zh-TW" w:eastAsia="zh-TW"/>
        </w:rPr>
        <w:t>年全国职业院校技能大赛成绩管理办法》，遵循成绩管理基本流程，通过检录、一次加密、二次加密、竞赛成绩评定、解密、成绩公布等流程，规范成绩管理。</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竞赛成绩评定本着公平公正公开的原则，评分标准注重对参赛选手价值观与态度、新能源光伏工程技术应用能力、团队协作与沟通及组织与管理能力的考察。以技能考核为主，兼顾团队协作精神和职业道德素养综合评定。</w:t>
      </w:r>
    </w:p>
    <w:p>
      <w:pPr>
        <w:framePr w:w="0" w:wrap="auto" w:vAnchor="margin" w:hAnchor="text" w:yAlign="inline"/>
        <w:spacing w:line="500" w:lineRule="exact"/>
        <w:ind w:firstLine="560"/>
        <w:rPr>
          <w:lang w:val="zh-TW" w:eastAsia="zh-TW"/>
        </w:rPr>
      </w:pPr>
    </w:p>
    <w:tbl>
      <w:tblPr>
        <w:tblStyle w:val="12"/>
        <w:tblW w:w="9582" w:type="dxa"/>
        <w:tblInd w:w="66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93"/>
        <w:gridCol w:w="2694"/>
        <w:gridCol w:w="850"/>
        <w:gridCol w:w="524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92" w:hRule="atLeast"/>
        </w:trPr>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zh-TW" w:eastAsia="zh-TW"/>
              </w:rPr>
              <w:t>序号</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zh-TW" w:eastAsia="zh-TW"/>
              </w:rPr>
              <w:t>名称</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zh-TW" w:eastAsia="zh-TW"/>
              </w:rPr>
              <w:t>占比</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23"/>
              <w:framePr w:w="0" w:wrap="auto" w:vAnchor="margin" w:hAnchor="text" w:yAlign="inline"/>
              <w:ind w:firstLine="0"/>
              <w:jc w:val="center"/>
            </w:pPr>
            <w:r>
              <w:rPr>
                <w:rStyle w:val="19"/>
                <w:rFonts w:ascii="仿宋" w:hAnsi="仿宋" w:eastAsia="仿宋" w:cs="仿宋"/>
                <w:b/>
                <w:bCs/>
                <w:lang w:val="zh-TW" w:eastAsia="zh-TW"/>
              </w:rPr>
              <w:t>考核内容</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14" w:hRule="atLeast"/>
        </w:trPr>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en-US"/>
              </w:rPr>
              <w:t>1</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光伏电子工程安装与实施</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en-US"/>
              </w:rPr>
              <w:t>20%</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考核参赛选手就光伏电子工程中，对于供能设备、储能设备、智能控制及负载装置等的安装、配置、连接技能、方法、工艺的掌握。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14" w:hRule="atLeast"/>
        </w:trPr>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en-US"/>
              </w:rPr>
              <w:t>2</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光伏控制模块开发与调试</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en-US"/>
              </w:rPr>
              <w:t>25%</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考核对光伏电子控制系统的电路设计，电子系统制作，电子器件焊接，单片机开发调试，能源控制系统调试等知识和技能的掌握。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414" w:hRule="atLeast"/>
        </w:trPr>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en-US"/>
              </w:rPr>
              <w:t>3</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光伏管控系统软件开发</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en-US"/>
              </w:rPr>
              <w:t>10%</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考核对光伏管控系统的配置和开发，组态系统的使用、开发及调试等知识和技能的掌握。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414" w:hRule="atLeast"/>
        </w:trPr>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en-US"/>
              </w:rPr>
              <w:t>4</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光伏电子系统运行调试</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en-US"/>
              </w:rPr>
              <w:t>20%</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考核对光伏电子系统整机运行调试，维护，简单智能能源综合利用等知识和技能的掌握。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14" w:hRule="atLeast"/>
        </w:trPr>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en-US"/>
              </w:rPr>
              <w:t>5</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区域能源分析与排布</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en-US"/>
              </w:rPr>
              <w:t>15%</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考核参赛选手对区域能源工程项目整体的项目需求分析，能源供电选址，能源系统分析，产能分析，能源优化等知识的掌握。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414" w:hRule="atLeast"/>
        </w:trPr>
        <w:tc>
          <w:tcPr>
            <w:tcW w:w="7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jc w:val="center"/>
            </w:pPr>
            <w:r>
              <w:rPr>
                <w:rStyle w:val="19"/>
                <w:rFonts w:ascii="仿宋" w:hAnsi="仿宋" w:eastAsia="仿宋" w:cs="仿宋"/>
                <w:b/>
                <w:bCs/>
                <w:lang w:val="en-US"/>
              </w:rPr>
              <w:t>6</w:t>
            </w:r>
          </w:p>
        </w:tc>
        <w:tc>
          <w:tcPr>
            <w:tcW w:w="26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职业规范与安全生产</w:t>
            </w:r>
          </w:p>
        </w:tc>
        <w:tc>
          <w:tcPr>
            <w:tcW w:w="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en-US"/>
              </w:rPr>
              <w:t>10%</w:t>
            </w:r>
          </w:p>
        </w:tc>
        <w:tc>
          <w:tcPr>
            <w:tcW w:w="524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3"/>
              <w:framePr w:w="0" w:wrap="auto" w:vAnchor="margin" w:hAnchor="text" w:yAlign="inline"/>
              <w:ind w:firstLine="0"/>
            </w:pPr>
            <w:r>
              <w:rPr>
                <w:rStyle w:val="19"/>
                <w:rFonts w:ascii="仿宋" w:hAnsi="仿宋" w:eastAsia="仿宋" w:cs="仿宋"/>
                <w:sz w:val="21"/>
                <w:szCs w:val="21"/>
                <w:lang w:val="zh-TW" w:eastAsia="zh-TW"/>
              </w:rPr>
              <w:t>考核参赛选手在职业规范、团队协作、组织管理、工作计划、团队风貌等方面的职业素养成绩。</w:t>
            </w:r>
          </w:p>
        </w:tc>
      </w:tr>
    </w:tbl>
    <w:p>
      <w:pPr>
        <w:framePr w:w="0" w:wrap="auto" w:vAnchor="margin" w:hAnchor="text" w:yAlign="inline"/>
        <w:ind w:left="557" w:hanging="557"/>
        <w:jc w:val="left"/>
        <w:rPr>
          <w:lang w:val="zh-TW" w:eastAsia="zh-TW"/>
        </w:rPr>
      </w:pPr>
    </w:p>
    <w:p>
      <w:pPr>
        <w:framePr w:w="0" w:wrap="auto" w:vAnchor="margin" w:hAnchor="text" w:yAlign="inline"/>
        <w:ind w:left="449" w:hanging="449"/>
        <w:rPr>
          <w:lang w:val="zh-TW" w:eastAsia="zh-TW"/>
        </w:rPr>
      </w:pPr>
    </w:p>
    <w:p>
      <w:pPr>
        <w:pStyle w:val="3"/>
        <w:framePr w:w="0" w:wrap="auto" w:vAnchor="margin" w:hAnchor="text" w:yAlign="inline"/>
        <w:rPr>
          <w:rStyle w:val="27"/>
          <w:b/>
          <w:bCs/>
          <w:lang w:val="zh-TW" w:eastAsia="zh-TW"/>
        </w:rPr>
      </w:pPr>
      <w:bookmarkStart w:id="70" w:name="_Toc32"/>
      <w:bookmarkStart w:id="71" w:name="_Toc4457"/>
      <w:r>
        <w:rPr>
          <w:rStyle w:val="19"/>
          <w:rFonts w:ascii="仿宋" w:hAnsi="仿宋" w:eastAsia="仿宋" w:cs="仿宋"/>
          <w:lang w:val="zh-TW" w:eastAsia="zh-TW"/>
        </w:rPr>
        <w:t>（</w:t>
      </w:r>
      <w:r>
        <w:rPr>
          <w:rStyle w:val="27"/>
          <w:b/>
          <w:bCs/>
          <w:lang w:val="zh-TW" w:eastAsia="zh-TW"/>
        </w:rPr>
        <w:t>二）评分方法</w:t>
      </w:r>
      <w:bookmarkEnd w:id="70"/>
      <w:bookmarkEnd w:id="71"/>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after="0" w:line="360" w:lineRule="auto"/>
        <w:ind w:left="0" w:leftChars="0" w:right="0" w:rightChars="0" w:firstLine="560" w:firstLineChars="0"/>
        <w:jc w:val="both"/>
        <w:textAlignment w:val="auto"/>
        <w:outlineLvl w:val="9"/>
      </w:pPr>
      <w:r>
        <w:rPr>
          <w:rStyle w:val="19"/>
          <w:rFonts w:ascii="仿宋" w:hAnsi="仿宋" w:eastAsia="仿宋" w:cs="仿宋"/>
          <w:lang w:val="zh-TW" w:eastAsia="zh-TW"/>
        </w:rPr>
        <w:t>根据《</w:t>
      </w:r>
      <w:r>
        <w:rPr>
          <w:rStyle w:val="15"/>
          <w:lang w:val="zh-TW" w:eastAsia="zh-TW"/>
        </w:rPr>
        <w:t>201</w:t>
      </w:r>
      <w:r>
        <w:rPr>
          <w:rStyle w:val="14"/>
          <w:lang w:val="en-US"/>
        </w:rPr>
        <w:t>7</w:t>
      </w:r>
      <w:r>
        <w:rPr>
          <w:rStyle w:val="19"/>
          <w:rFonts w:ascii="仿宋" w:hAnsi="仿宋" w:eastAsia="仿宋" w:cs="仿宋"/>
          <w:lang w:val="zh-TW" w:eastAsia="zh-TW"/>
        </w:rPr>
        <w:t>年全国职业院校技能大赛成绩管理办法》，本赛项根据不同的考核内容及评判方法，划分为</w:t>
      </w:r>
      <w:r>
        <w:rPr>
          <w:rStyle w:val="15"/>
          <w:lang w:val="zh-TW" w:eastAsia="zh-TW"/>
        </w:rPr>
        <w:t>6</w:t>
      </w:r>
      <w:r>
        <w:rPr>
          <w:rStyle w:val="19"/>
          <w:rFonts w:ascii="仿宋" w:hAnsi="仿宋" w:eastAsia="仿宋" w:cs="仿宋"/>
          <w:lang w:val="zh-TW" w:eastAsia="zh-TW"/>
        </w:rPr>
        <w:t>个竞赛评分模块，分别由</w:t>
      </w:r>
      <w:r>
        <w:rPr>
          <w:rStyle w:val="15"/>
          <w:lang w:val="zh-TW" w:eastAsia="zh-TW"/>
        </w:rPr>
        <w:t>6</w:t>
      </w:r>
      <w:r>
        <w:rPr>
          <w:rStyle w:val="19"/>
          <w:rFonts w:ascii="仿宋" w:hAnsi="仿宋" w:eastAsia="仿宋" w:cs="仿宋"/>
          <w:lang w:val="zh-TW" w:eastAsia="zh-TW"/>
        </w:rPr>
        <w:t>组裁判分别进行竞赛结果的模块成绩判定，最终再进行模块成绩汇总，交付加密裁判进行解密。</w:t>
      </w:r>
    </w:p>
    <w:p>
      <w:pPr>
        <w:keepNext w:val="0"/>
        <w:keepLines w:val="0"/>
        <w:pageBreakBefore w:val="0"/>
        <w:framePr w:w="0" w:wrap="auto" w:vAnchor="margin" w:hAnchor="text" w:yAlign="inline"/>
        <w:widowControl w:val="0"/>
        <w:kinsoku/>
        <w:wordWrap/>
        <w:overflowPunct/>
        <w:topLinePunct w:val="0"/>
        <w:autoSpaceDE/>
        <w:autoSpaceDN/>
        <w:bidi w:val="0"/>
        <w:adjustRightInd/>
        <w:snapToGrid/>
        <w:spacing w:before="0" w:after="0" w:line="360" w:lineRule="auto"/>
        <w:ind w:left="0" w:leftChars="0" w:right="0" w:rightChars="0" w:firstLine="560" w:firstLineChars="0"/>
        <w:jc w:val="both"/>
        <w:textAlignment w:val="auto"/>
        <w:outlineLvl w:val="9"/>
        <w:rPr>
          <w:rStyle w:val="15"/>
          <w:lang w:val="zh-TW" w:eastAsia="zh-TW"/>
        </w:rPr>
      </w:pPr>
      <w:r>
        <w:rPr>
          <w:rStyle w:val="19"/>
          <w:rFonts w:ascii="仿宋" w:hAnsi="仿宋" w:eastAsia="仿宋" w:cs="仿宋"/>
          <w:lang w:val="zh-TW" w:eastAsia="zh-TW"/>
        </w:rPr>
        <w:t>竞赛评分模块分为结果客观评判，结果主观评判两类。结果客观评判由评分裁判打分，裁判组由两名以上评分裁判组成，分头进行评分，对于打分项差距超出</w:t>
      </w:r>
      <w:r>
        <w:rPr>
          <w:rStyle w:val="15"/>
          <w:lang w:val="zh-TW" w:eastAsia="zh-TW"/>
        </w:rPr>
        <w:t>10%</w:t>
      </w:r>
      <w:r>
        <w:rPr>
          <w:rStyle w:val="19"/>
          <w:rFonts w:ascii="仿宋" w:hAnsi="仿宋" w:eastAsia="仿宋" w:cs="仿宋"/>
          <w:lang w:val="zh-TW" w:eastAsia="zh-TW"/>
        </w:rPr>
        <w:t>的情况，由裁判长进行判定，</w:t>
      </w:r>
      <w:r>
        <w:rPr>
          <w:rStyle w:val="15"/>
          <w:lang w:val="zh-TW" w:eastAsia="zh-TW"/>
        </w:rPr>
        <w:t>10%</w:t>
      </w:r>
      <w:r>
        <w:rPr>
          <w:rStyle w:val="19"/>
          <w:rFonts w:ascii="仿宋" w:hAnsi="仿宋" w:eastAsia="仿宋" w:cs="仿宋"/>
          <w:lang w:val="zh-TW" w:eastAsia="zh-TW"/>
        </w:rPr>
        <w:t>内的差距求平均分；结果主观评判由五名以上评分裁判组成，最终成绩去掉最高分，最低分求平均分。</w:t>
      </w:r>
    </w:p>
    <w:p>
      <w:pPr>
        <w:pStyle w:val="3"/>
        <w:framePr w:w="0" w:wrap="auto" w:vAnchor="margin" w:hAnchor="text" w:yAlign="inline"/>
        <w:rPr>
          <w:rStyle w:val="15"/>
          <w:lang w:val="zh-TW" w:eastAsia="zh-TW"/>
        </w:rPr>
      </w:pPr>
      <w:bookmarkStart w:id="72" w:name="_Toc33"/>
      <w:bookmarkStart w:id="73" w:name="_Toc11740"/>
      <w:r>
        <w:rPr>
          <w:rStyle w:val="19"/>
          <w:rFonts w:ascii="仿宋" w:hAnsi="仿宋" w:eastAsia="仿宋" w:cs="仿宋"/>
          <w:lang w:val="zh-TW" w:eastAsia="zh-TW"/>
        </w:rPr>
        <w:t>（</w:t>
      </w:r>
      <w:r>
        <w:rPr>
          <w:rStyle w:val="27"/>
          <w:b/>
          <w:bCs/>
          <w:lang w:val="zh-TW" w:eastAsia="zh-TW"/>
        </w:rPr>
        <w:t>三）评分细则</w:t>
      </w:r>
      <w:r>
        <w:rPr>
          <w:rStyle w:val="19"/>
          <w:rFonts w:ascii="仿宋" w:hAnsi="仿宋" w:eastAsia="仿宋" w:cs="仿宋"/>
          <w:lang w:val="zh-TW" w:eastAsia="zh-TW"/>
        </w:rPr>
        <w:t>：</w:t>
      </w:r>
      <w:bookmarkEnd w:id="72"/>
      <w:bookmarkEnd w:id="73"/>
    </w:p>
    <w:p>
      <w:pPr>
        <w:framePr w:w="0" w:wrap="auto" w:vAnchor="margin" w:hAnchor="text" w:yAlign="inline"/>
      </w:pPr>
      <w:r>
        <w:rPr>
          <w:rStyle w:val="14"/>
          <w:lang w:val="en-US"/>
        </w:rPr>
        <w:t>1</w:t>
      </w:r>
      <w:r>
        <w:rPr>
          <w:rStyle w:val="19"/>
          <w:rFonts w:ascii="仿宋" w:hAnsi="仿宋" w:eastAsia="仿宋" w:cs="仿宋"/>
          <w:lang w:val="zh-TW" w:eastAsia="zh-TW"/>
        </w:rPr>
        <w:t>、光伏电子工程安装与实施评分模块（结果客观评分，模块总分</w:t>
      </w:r>
      <w:r>
        <w:rPr>
          <w:rStyle w:val="14"/>
          <w:lang w:val="en-US"/>
        </w:rPr>
        <w:t>20</w:t>
      </w:r>
      <w:r>
        <w:rPr>
          <w:rStyle w:val="19"/>
          <w:rFonts w:ascii="仿宋" w:hAnsi="仿宋" w:eastAsia="仿宋" w:cs="仿宋"/>
          <w:lang w:val="zh-TW" w:eastAsia="zh-TW"/>
        </w:rPr>
        <w:t>分）</w:t>
      </w:r>
    </w:p>
    <w:tbl>
      <w:tblPr>
        <w:tblStyle w:val="12"/>
        <w:tblW w:w="9639" w:type="dxa"/>
        <w:tblInd w:w="32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66"/>
        <w:gridCol w:w="2494"/>
        <w:gridCol w:w="1417"/>
        <w:gridCol w:w="851"/>
        <w:gridCol w:w="411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6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序号</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考核内容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配分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得分</w:t>
            </w: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8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工程规划与设计</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3</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numPr>
                <w:ilvl w:val="0"/>
                <w:numId w:val="0"/>
              </w:numPr>
              <w:ind w:leftChars="0" w:right="0" w:rightChars="0"/>
              <w:rPr>
                <w:rFonts w:ascii="仿宋" w:hAnsi="仿宋" w:eastAsia="仿宋" w:cs="仿宋"/>
                <w:sz w:val="21"/>
                <w:szCs w:val="21"/>
                <w:lang w:val="zh-TW" w:eastAsia="zh-TW"/>
              </w:rPr>
            </w:pPr>
            <w:r>
              <w:rPr>
                <w:rStyle w:val="15"/>
                <w:rFonts w:hint="eastAsia" w:ascii="仿宋" w:hAnsi="仿宋" w:eastAsia="仿宋" w:cs="仿宋"/>
                <w:sz w:val="21"/>
                <w:szCs w:val="21"/>
                <w:lang w:val="en-US" w:eastAsia="zh-CN"/>
              </w:rPr>
              <w:t>1.</w:t>
            </w:r>
            <w:r>
              <w:rPr>
                <w:rStyle w:val="15"/>
                <w:rFonts w:ascii="仿宋" w:hAnsi="仿宋" w:eastAsia="仿宋" w:cs="仿宋"/>
                <w:sz w:val="21"/>
                <w:szCs w:val="21"/>
                <w:lang w:val="zh-TW" w:eastAsia="zh-TW"/>
              </w:rPr>
              <w:t>规划设计（文件或纸上）符合工程规范，内容完整；</w:t>
            </w:r>
          </w:p>
          <w:p>
            <w:pPr>
              <w:framePr w:w="0" w:wrap="auto" w:vAnchor="margin" w:hAnchor="text" w:yAlign="inline"/>
              <w:numPr>
                <w:ilvl w:val="0"/>
                <w:numId w:val="2"/>
              </w:numPr>
              <w:bidi w:val="0"/>
              <w:ind w:right="0"/>
              <w:jc w:val="both"/>
              <w:rPr>
                <w:rFonts w:ascii="仿宋" w:hAnsi="仿宋" w:eastAsia="仿宋" w:cs="仿宋"/>
                <w:sz w:val="21"/>
                <w:szCs w:val="21"/>
                <w:lang w:val="zh-TW" w:eastAsia="zh-TW"/>
              </w:rPr>
            </w:pPr>
            <w:r>
              <w:rPr>
                <w:rStyle w:val="15"/>
                <w:rFonts w:ascii="仿宋" w:hAnsi="仿宋" w:eastAsia="仿宋" w:cs="仿宋"/>
                <w:sz w:val="21"/>
                <w:szCs w:val="21"/>
                <w:lang w:val="zh-TW" w:eastAsia="zh-TW"/>
              </w:rPr>
              <w:t>平台所有设备都已规划入方案。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805"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2</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工程供电设备安装</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7</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numPr>
                <w:ilvl w:val="0"/>
                <w:numId w:val="0"/>
              </w:numPr>
              <w:ind w:leftChars="0" w:right="0" w:rightChars="0"/>
              <w:rPr>
                <w:rStyle w:val="19"/>
                <w:rFonts w:ascii="仿宋" w:hAnsi="仿宋" w:eastAsia="仿宋" w:cs="仿宋"/>
                <w:sz w:val="21"/>
                <w:szCs w:val="21"/>
                <w:lang w:val="zh-TW" w:eastAsia="zh-TW"/>
              </w:rPr>
            </w:pPr>
            <w:r>
              <w:rPr>
                <w:rStyle w:val="15"/>
                <w:rFonts w:hint="eastAsia" w:ascii="仿宋" w:hAnsi="仿宋" w:eastAsia="仿宋" w:cs="仿宋"/>
                <w:sz w:val="21"/>
                <w:szCs w:val="21"/>
                <w:lang w:val="en-US" w:eastAsia="zh-CN"/>
              </w:rPr>
              <w:t>1.</w:t>
            </w:r>
            <w:r>
              <w:rPr>
                <w:rStyle w:val="15"/>
                <w:rFonts w:ascii="仿宋" w:hAnsi="仿宋" w:eastAsia="仿宋" w:cs="仿宋"/>
                <w:sz w:val="21"/>
                <w:szCs w:val="21"/>
                <w:lang w:val="zh-TW" w:eastAsia="zh-TW"/>
              </w:rPr>
              <w:t>设备（</w:t>
            </w:r>
            <w:r>
              <w:rPr>
                <w:rStyle w:val="14"/>
                <w:rFonts w:ascii="仿宋" w:hAnsi="仿宋" w:eastAsia="仿宋" w:cs="仿宋"/>
                <w:sz w:val="21"/>
                <w:szCs w:val="21"/>
                <w:lang w:val="en-US"/>
              </w:rPr>
              <w:t>1</w:t>
            </w:r>
            <w:r>
              <w:rPr>
                <w:rStyle w:val="15"/>
                <w:rFonts w:ascii="仿宋" w:hAnsi="仿宋" w:eastAsia="仿宋" w:cs="仿宋"/>
                <w:sz w:val="21"/>
                <w:szCs w:val="21"/>
                <w:lang w:val="zh-TW" w:eastAsia="zh-TW"/>
              </w:rPr>
              <w:t>组屋顶光伏发电，</w:t>
            </w:r>
            <w:r>
              <w:rPr>
                <w:rStyle w:val="14"/>
                <w:rFonts w:ascii="仿宋" w:hAnsi="仿宋" w:eastAsia="仿宋" w:cs="仿宋"/>
                <w:sz w:val="21"/>
                <w:szCs w:val="21"/>
                <w:lang w:val="en-US"/>
              </w:rPr>
              <w:t>1</w:t>
            </w:r>
            <w:r>
              <w:rPr>
                <w:rStyle w:val="15"/>
                <w:rFonts w:ascii="仿宋" w:hAnsi="仿宋" w:eastAsia="仿宋" w:cs="仿宋"/>
                <w:sz w:val="21"/>
                <w:szCs w:val="21"/>
                <w:lang w:val="zh-TW" w:eastAsia="zh-TW"/>
              </w:rPr>
              <w:t>组地面光伏发电）均合理安装至环境模拟平台；</w:t>
            </w:r>
          </w:p>
          <w:p>
            <w:pPr>
              <w:framePr w:w="0" w:wrap="auto" w:vAnchor="margin" w:hAnchor="text" w:yAlign="inline"/>
              <w:numPr>
                <w:ilvl w:val="0"/>
                <w:numId w:val="0"/>
              </w:numPr>
              <w:bidi w:val="0"/>
              <w:ind w:leftChars="0" w:right="0" w:rightChars="0"/>
              <w:jc w:val="both"/>
              <w:rPr>
                <w:rStyle w:val="19"/>
                <w:rFonts w:ascii="仿宋" w:hAnsi="仿宋" w:eastAsia="仿宋" w:cs="仿宋"/>
                <w:sz w:val="21"/>
                <w:szCs w:val="21"/>
                <w:lang w:val="zh-TW" w:eastAsia="zh-TW"/>
              </w:rPr>
            </w:pPr>
            <w:r>
              <w:rPr>
                <w:rStyle w:val="15"/>
                <w:rFonts w:hint="eastAsia" w:ascii="仿宋" w:hAnsi="仿宋" w:eastAsia="仿宋" w:cs="仿宋"/>
                <w:sz w:val="21"/>
                <w:szCs w:val="21"/>
                <w:lang w:val="en-US" w:eastAsia="zh-CN"/>
              </w:rPr>
              <w:t>2.</w:t>
            </w:r>
            <w:r>
              <w:rPr>
                <w:rStyle w:val="15"/>
                <w:rFonts w:ascii="仿宋" w:hAnsi="仿宋" w:eastAsia="仿宋" w:cs="仿宋"/>
                <w:sz w:val="21"/>
                <w:szCs w:val="21"/>
                <w:lang w:val="zh-TW" w:eastAsia="zh-TW"/>
              </w:rPr>
              <w:t>光伏发电设备按照题目设定纬度调整合理角度（允许</w:t>
            </w:r>
            <w:r>
              <w:rPr>
                <w:rStyle w:val="14"/>
                <w:rFonts w:ascii="仿宋" w:hAnsi="仿宋" w:eastAsia="仿宋" w:cs="仿宋"/>
                <w:sz w:val="21"/>
                <w:szCs w:val="21"/>
                <w:lang w:val="en-US"/>
              </w:rPr>
              <w:t>90</w:t>
            </w:r>
            <w:r>
              <w:rPr>
                <w:rStyle w:val="15"/>
                <w:rFonts w:ascii="仿宋" w:hAnsi="仿宋" w:eastAsia="仿宋" w:cs="仿宋"/>
                <w:sz w:val="21"/>
                <w:szCs w:val="21"/>
                <w:lang w:val="zh-TW" w:eastAsia="zh-TW"/>
              </w:rPr>
              <w:t>度内误差）；</w:t>
            </w:r>
          </w:p>
          <w:p>
            <w:pPr>
              <w:framePr w:w="0" w:wrap="auto" w:vAnchor="margin" w:hAnchor="text" w:yAlign="inline"/>
            </w:pPr>
            <w:r>
              <w:rPr>
                <w:rStyle w:val="19"/>
                <w:rFonts w:ascii="仿宋" w:hAnsi="仿宋" w:eastAsia="仿宋" w:cs="仿宋"/>
                <w:sz w:val="21"/>
                <w:szCs w:val="21"/>
                <w:lang w:val="en-US"/>
              </w:rPr>
              <w:t>3.</w:t>
            </w:r>
            <w:r>
              <w:rPr>
                <w:rStyle w:val="19"/>
                <w:rFonts w:ascii="仿宋" w:hAnsi="仿宋" w:eastAsia="仿宋" w:cs="仿宋"/>
                <w:sz w:val="21"/>
                <w:szCs w:val="21"/>
                <w:lang w:val="zh-TW" w:eastAsia="zh-TW"/>
              </w:rPr>
              <w:t>设备牢固，位置正确，整体安装位置清晰。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391"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3</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工程智能管控设备安装</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10</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numPr>
                <w:ilvl w:val="0"/>
                <w:numId w:val="0"/>
              </w:numPr>
              <w:ind w:leftChars="0" w:right="0" w:rightChars="0"/>
              <w:rPr>
                <w:rStyle w:val="19"/>
                <w:rFonts w:ascii="仿宋" w:hAnsi="仿宋" w:eastAsia="仿宋" w:cs="仿宋"/>
                <w:sz w:val="21"/>
                <w:szCs w:val="21"/>
                <w:lang w:val="zh-TW" w:eastAsia="zh-TW"/>
              </w:rPr>
            </w:pPr>
            <w:r>
              <w:rPr>
                <w:rStyle w:val="15"/>
                <w:rFonts w:hint="eastAsia" w:ascii="仿宋" w:hAnsi="仿宋" w:eastAsia="仿宋" w:cs="仿宋"/>
                <w:sz w:val="21"/>
                <w:szCs w:val="21"/>
                <w:lang w:val="en-US" w:eastAsia="zh-CN"/>
              </w:rPr>
              <w:t>1.</w:t>
            </w:r>
            <w:r>
              <w:rPr>
                <w:rStyle w:val="15"/>
                <w:rFonts w:ascii="仿宋" w:hAnsi="仿宋" w:eastAsia="仿宋" w:cs="仿宋"/>
                <w:sz w:val="21"/>
                <w:szCs w:val="21"/>
                <w:lang w:val="zh-TW" w:eastAsia="zh-TW"/>
              </w:rPr>
              <w:t>须对面板上所有扣走线槽盖板；</w:t>
            </w:r>
          </w:p>
          <w:p>
            <w:pPr>
              <w:framePr w:w="0" w:wrap="auto" w:vAnchor="margin" w:hAnchor="text" w:yAlign="inline"/>
              <w:numPr>
                <w:ilvl w:val="0"/>
                <w:numId w:val="0"/>
              </w:numPr>
              <w:bidi w:val="0"/>
              <w:ind w:leftChars="0" w:right="0" w:rightChars="0"/>
              <w:jc w:val="both"/>
              <w:rPr>
                <w:rStyle w:val="19"/>
                <w:rFonts w:ascii="仿宋" w:hAnsi="仿宋" w:eastAsia="仿宋" w:cs="仿宋"/>
                <w:sz w:val="21"/>
                <w:szCs w:val="21"/>
                <w:lang w:val="zh-TW" w:eastAsia="zh-TW"/>
              </w:rPr>
            </w:pPr>
            <w:r>
              <w:rPr>
                <w:rStyle w:val="15"/>
                <w:rFonts w:hint="eastAsia" w:ascii="仿宋" w:hAnsi="仿宋" w:eastAsia="仿宋" w:cs="仿宋"/>
                <w:sz w:val="21"/>
                <w:szCs w:val="21"/>
                <w:lang w:val="en-US" w:eastAsia="zh-CN"/>
              </w:rPr>
              <w:t>2.</w:t>
            </w:r>
            <w:r>
              <w:rPr>
                <w:rStyle w:val="15"/>
                <w:rFonts w:ascii="仿宋" w:hAnsi="仿宋" w:eastAsia="仿宋" w:cs="仿宋"/>
                <w:sz w:val="21"/>
                <w:szCs w:val="21"/>
                <w:lang w:val="zh-TW" w:eastAsia="zh-TW"/>
              </w:rPr>
              <w:t>实训面板安装区域与规划图纸要一致；</w:t>
            </w:r>
          </w:p>
          <w:p>
            <w:pPr>
              <w:framePr w:w="0" w:wrap="auto" w:vAnchor="margin" w:hAnchor="text" w:yAlign="inline"/>
            </w:pPr>
            <w:r>
              <w:rPr>
                <w:rStyle w:val="19"/>
                <w:rFonts w:ascii="仿宋" w:hAnsi="仿宋" w:eastAsia="仿宋" w:cs="仿宋"/>
                <w:sz w:val="21"/>
                <w:szCs w:val="21"/>
                <w:lang w:val="en-US"/>
              </w:rPr>
              <w:t>3.</w:t>
            </w:r>
            <w:r>
              <w:rPr>
                <w:rStyle w:val="19"/>
                <w:rFonts w:ascii="仿宋" w:hAnsi="仿宋" w:eastAsia="仿宋" w:cs="仿宋"/>
                <w:sz w:val="21"/>
                <w:szCs w:val="21"/>
                <w:lang w:val="zh-TW" w:eastAsia="zh-TW"/>
              </w:rPr>
              <w:t>设备牢固，位置正确，整体安装位置清晰。</w:t>
            </w:r>
          </w:p>
        </w:tc>
      </w:tr>
    </w:tbl>
    <w:p>
      <w:pPr>
        <w:framePr w:w="0" w:wrap="auto" w:vAnchor="margin" w:hAnchor="text" w:yAlign="inline"/>
        <w:ind w:left="216" w:hanging="216"/>
        <w:jc w:val="left"/>
      </w:pPr>
    </w:p>
    <w:p>
      <w:pPr>
        <w:framePr w:w="0" w:wrap="auto" w:vAnchor="margin" w:hAnchor="text" w:yAlign="inline"/>
        <w:ind w:left="108" w:hanging="108"/>
      </w:pPr>
    </w:p>
    <w:p>
      <w:pPr>
        <w:framePr w:w="0" w:wrap="auto" w:vAnchor="margin" w:hAnchor="text" w:yAlign="inline"/>
      </w:pPr>
    </w:p>
    <w:p>
      <w:pPr>
        <w:framePr w:w="0" w:wrap="auto" w:vAnchor="margin" w:hAnchor="text" w:yAlign="inline"/>
      </w:pPr>
      <w:r>
        <w:rPr>
          <w:rStyle w:val="14"/>
          <w:lang w:val="en-US"/>
        </w:rPr>
        <w:t>2</w:t>
      </w:r>
      <w:r>
        <w:rPr>
          <w:rStyle w:val="19"/>
          <w:rFonts w:ascii="仿宋" w:hAnsi="仿宋" w:eastAsia="仿宋" w:cs="仿宋"/>
          <w:lang w:val="zh-TW" w:eastAsia="zh-TW"/>
        </w:rPr>
        <w:t>、光伏控制模块开发与调试评分模块（结果客观评分，模块总分</w:t>
      </w:r>
      <w:r>
        <w:rPr>
          <w:rStyle w:val="14"/>
          <w:lang w:val="en-US"/>
        </w:rPr>
        <w:t>25</w:t>
      </w:r>
      <w:r>
        <w:rPr>
          <w:rStyle w:val="19"/>
          <w:rFonts w:ascii="仿宋" w:hAnsi="仿宋" w:eastAsia="仿宋" w:cs="仿宋"/>
          <w:lang w:val="zh-TW" w:eastAsia="zh-TW"/>
        </w:rPr>
        <w:t>分）</w:t>
      </w:r>
    </w:p>
    <w:tbl>
      <w:tblPr>
        <w:tblStyle w:val="12"/>
        <w:tblW w:w="9639" w:type="dxa"/>
        <w:tblInd w:w="32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66"/>
        <w:gridCol w:w="2494"/>
        <w:gridCol w:w="1417"/>
        <w:gridCol w:w="851"/>
        <w:gridCol w:w="411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6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序号</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考核内容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配分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得分</w:t>
            </w: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01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光伏控制电路分析设计</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5</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rPr>
                <w:rStyle w:val="19"/>
                <w:rFonts w:ascii="仿宋" w:hAnsi="仿宋" w:eastAsia="仿宋" w:cs="仿宋"/>
                <w:sz w:val="21"/>
                <w:szCs w:val="21"/>
              </w:rPr>
            </w:pPr>
            <w:r>
              <w:rPr>
                <w:rStyle w:val="15"/>
                <w:rFonts w:ascii="仿宋" w:hAnsi="仿宋" w:eastAsia="仿宋" w:cs="仿宋"/>
                <w:sz w:val="21"/>
                <w:szCs w:val="21"/>
                <w:lang w:val="zh-TW" w:eastAsia="zh-TW"/>
              </w:rPr>
              <w:t>1.有电路图，且符合电路图绘制规范；</w:t>
            </w:r>
          </w:p>
          <w:p>
            <w:pPr>
              <w:framePr w:w="0" w:wrap="auto" w:vAnchor="margin" w:hAnchor="text" w:yAlign="inline"/>
              <w:bidi w:val="0"/>
              <w:ind w:left="0" w:right="0" w:firstLine="0"/>
              <w:jc w:val="both"/>
              <w:rPr>
                <w:rStyle w:val="19"/>
                <w:rFonts w:ascii="仿宋" w:hAnsi="仿宋" w:eastAsia="仿宋" w:cs="仿宋"/>
                <w:sz w:val="21"/>
                <w:szCs w:val="21"/>
              </w:rPr>
            </w:pPr>
            <w:r>
              <w:rPr>
                <w:rStyle w:val="15"/>
                <w:rFonts w:ascii="仿宋" w:hAnsi="仿宋" w:eastAsia="仿宋" w:cs="仿宋"/>
                <w:sz w:val="21"/>
                <w:szCs w:val="21"/>
                <w:lang w:val="zh-TW" w:eastAsia="zh-TW"/>
              </w:rPr>
              <w:t>2.电路图器件数量及选型符合任务要求；</w:t>
            </w:r>
          </w:p>
          <w:p>
            <w:pPr>
              <w:framePr w:w="0" w:wrap="auto" w:vAnchor="margin" w:hAnchor="text" w:yAlign="inline"/>
            </w:pPr>
            <w:r>
              <w:rPr>
                <w:rStyle w:val="19"/>
                <w:rFonts w:ascii="仿宋" w:hAnsi="仿宋" w:eastAsia="仿宋" w:cs="仿宋"/>
                <w:sz w:val="21"/>
                <w:szCs w:val="21"/>
                <w:lang w:val="zh-TW" w:eastAsia="zh-TW"/>
              </w:rPr>
              <w:t>3.电路功能设计有效，能完成根据负载启动光伏供电。</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07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2</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光伏控制模块制作</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10</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rPr>
                <w:rStyle w:val="19"/>
                <w:rFonts w:ascii="仿宋" w:hAnsi="仿宋" w:eastAsia="仿宋" w:cs="仿宋"/>
                <w:sz w:val="21"/>
                <w:szCs w:val="21"/>
              </w:rPr>
            </w:pPr>
            <w:r>
              <w:rPr>
                <w:rStyle w:val="15"/>
                <w:rFonts w:ascii="仿宋" w:hAnsi="仿宋" w:eastAsia="仿宋" w:cs="仿宋"/>
                <w:sz w:val="21"/>
                <w:szCs w:val="21"/>
                <w:lang w:val="zh-TW" w:eastAsia="zh-TW"/>
              </w:rPr>
              <w:t>1.电路板内容符合设计要求；</w:t>
            </w:r>
          </w:p>
          <w:p>
            <w:pPr>
              <w:framePr w:w="0" w:wrap="auto" w:vAnchor="margin" w:hAnchor="text" w:yAlign="inline"/>
              <w:bidi w:val="0"/>
              <w:ind w:left="0" w:right="0" w:firstLine="0"/>
              <w:jc w:val="both"/>
              <w:rPr>
                <w:rStyle w:val="19"/>
                <w:rFonts w:ascii="仿宋" w:hAnsi="仿宋" w:eastAsia="仿宋" w:cs="仿宋"/>
                <w:sz w:val="21"/>
                <w:szCs w:val="21"/>
              </w:rPr>
            </w:pPr>
            <w:r>
              <w:rPr>
                <w:rStyle w:val="15"/>
                <w:rFonts w:ascii="仿宋" w:hAnsi="仿宋" w:eastAsia="仿宋" w:cs="仿宋"/>
                <w:sz w:val="21"/>
                <w:szCs w:val="21"/>
                <w:lang w:val="zh-TW" w:eastAsia="zh-TW"/>
              </w:rPr>
              <w:t>2.焊接牢固，没有虚焊；</w:t>
            </w:r>
          </w:p>
          <w:p>
            <w:pPr>
              <w:framePr w:w="0" w:wrap="auto" w:vAnchor="margin" w:hAnchor="text" w:yAlign="inline"/>
              <w:bidi w:val="0"/>
              <w:ind w:left="0" w:right="0" w:firstLine="0"/>
              <w:jc w:val="both"/>
              <w:rPr>
                <w:rStyle w:val="19"/>
                <w:rFonts w:ascii="仿宋" w:hAnsi="仿宋" w:eastAsia="仿宋" w:cs="仿宋"/>
                <w:sz w:val="21"/>
                <w:szCs w:val="21"/>
              </w:rPr>
            </w:pPr>
            <w:r>
              <w:rPr>
                <w:rStyle w:val="15"/>
                <w:rFonts w:ascii="仿宋" w:hAnsi="仿宋" w:eastAsia="仿宋" w:cs="仿宋"/>
                <w:sz w:val="21"/>
                <w:szCs w:val="21"/>
                <w:lang w:val="zh-TW" w:eastAsia="zh-TW"/>
              </w:rPr>
              <w:t>3.连接与电路图相符；</w:t>
            </w:r>
          </w:p>
          <w:p>
            <w:pPr>
              <w:framePr w:w="0" w:wrap="auto" w:vAnchor="margin" w:hAnchor="text" w:yAlign="inline"/>
            </w:pPr>
            <w:r>
              <w:rPr>
                <w:rStyle w:val="19"/>
                <w:rFonts w:ascii="仿宋" w:hAnsi="仿宋" w:eastAsia="仿宋" w:cs="仿宋"/>
                <w:sz w:val="21"/>
                <w:szCs w:val="21"/>
                <w:lang w:val="zh-TW" w:eastAsia="zh-TW"/>
              </w:rPr>
              <w:t>4.器件选型使用正确。</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679"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3</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光伏控制模块运行</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10</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rPr>
                <w:rStyle w:val="19"/>
                <w:rFonts w:ascii="仿宋" w:hAnsi="仿宋" w:eastAsia="仿宋" w:cs="仿宋"/>
                <w:sz w:val="21"/>
                <w:szCs w:val="21"/>
              </w:rPr>
            </w:pPr>
            <w:r>
              <w:rPr>
                <w:rStyle w:val="15"/>
                <w:rFonts w:ascii="仿宋" w:hAnsi="仿宋" w:eastAsia="仿宋" w:cs="仿宋"/>
                <w:sz w:val="21"/>
                <w:szCs w:val="21"/>
                <w:lang w:val="zh-TW" w:eastAsia="zh-TW"/>
              </w:rPr>
              <w:t>1.模块接入到系统中；</w:t>
            </w:r>
          </w:p>
          <w:p>
            <w:pPr>
              <w:framePr w:w="0" w:wrap="auto" w:vAnchor="margin" w:hAnchor="text" w:yAlign="inline"/>
              <w:bidi w:val="0"/>
              <w:ind w:left="0" w:right="0" w:firstLine="0"/>
              <w:jc w:val="both"/>
              <w:rPr>
                <w:rStyle w:val="19"/>
                <w:rFonts w:ascii="仿宋" w:hAnsi="仿宋" w:eastAsia="仿宋" w:cs="仿宋"/>
                <w:sz w:val="21"/>
                <w:szCs w:val="21"/>
              </w:rPr>
            </w:pPr>
            <w:r>
              <w:rPr>
                <w:rStyle w:val="15"/>
                <w:rFonts w:ascii="仿宋" w:hAnsi="仿宋" w:eastAsia="仿宋" w:cs="仿宋"/>
                <w:sz w:val="21"/>
                <w:szCs w:val="21"/>
                <w:lang w:val="zh-TW" w:eastAsia="zh-TW"/>
              </w:rPr>
              <w:t>2.运行系统，负载未开启，两组光伏输入均无电流；</w:t>
            </w:r>
          </w:p>
          <w:p>
            <w:pPr>
              <w:framePr w:w="0" w:wrap="auto" w:vAnchor="margin" w:hAnchor="text" w:yAlign="inline"/>
              <w:bidi w:val="0"/>
              <w:ind w:left="0" w:right="0" w:firstLine="0"/>
              <w:jc w:val="both"/>
              <w:rPr>
                <w:rStyle w:val="19"/>
                <w:rFonts w:ascii="仿宋" w:hAnsi="仿宋" w:eastAsia="仿宋" w:cs="仿宋"/>
                <w:sz w:val="21"/>
                <w:szCs w:val="21"/>
              </w:rPr>
            </w:pPr>
            <w:r>
              <w:rPr>
                <w:rStyle w:val="15"/>
                <w:rFonts w:ascii="仿宋" w:hAnsi="仿宋" w:eastAsia="仿宋" w:cs="仿宋"/>
                <w:sz w:val="21"/>
                <w:szCs w:val="21"/>
                <w:lang w:val="zh-TW" w:eastAsia="zh-TW"/>
              </w:rPr>
              <w:t>3.开启一组负载，屋顶光伏输入有电流，地面光伏输入无电流；</w:t>
            </w:r>
          </w:p>
          <w:p>
            <w:pPr>
              <w:framePr w:w="0" w:wrap="auto" w:vAnchor="margin" w:hAnchor="text" w:yAlign="inline"/>
            </w:pPr>
            <w:r>
              <w:rPr>
                <w:rStyle w:val="19"/>
                <w:rFonts w:ascii="仿宋" w:hAnsi="仿宋" w:eastAsia="仿宋" w:cs="仿宋"/>
                <w:sz w:val="21"/>
                <w:szCs w:val="21"/>
                <w:lang w:val="zh-TW" w:eastAsia="zh-TW"/>
              </w:rPr>
              <w:t>4.开启第二组负载，地面光伏与屋顶光伏输入都有电流。</w:t>
            </w:r>
          </w:p>
        </w:tc>
      </w:tr>
    </w:tbl>
    <w:p>
      <w:pPr>
        <w:framePr w:w="0" w:wrap="auto" w:vAnchor="margin" w:hAnchor="text" w:yAlign="inline"/>
        <w:ind w:left="216" w:hanging="216"/>
        <w:jc w:val="left"/>
      </w:pPr>
    </w:p>
    <w:p>
      <w:pPr>
        <w:framePr w:w="0" w:wrap="auto" w:vAnchor="margin" w:hAnchor="text" w:yAlign="inline"/>
        <w:ind w:left="108" w:hanging="108"/>
      </w:pPr>
    </w:p>
    <w:p>
      <w:pPr>
        <w:framePr w:w="0" w:wrap="auto" w:vAnchor="margin" w:hAnchor="text" w:yAlign="inline"/>
      </w:pPr>
      <w:r>
        <w:rPr>
          <w:rStyle w:val="14"/>
          <w:lang w:val="en-US"/>
        </w:rPr>
        <w:t>3</w:t>
      </w:r>
      <w:r>
        <w:rPr>
          <w:rStyle w:val="19"/>
          <w:rFonts w:ascii="仿宋" w:hAnsi="仿宋" w:eastAsia="仿宋" w:cs="仿宋"/>
          <w:lang w:val="zh-TW" w:eastAsia="zh-TW"/>
        </w:rPr>
        <w:t>、光伏管控系统软件开发评分模块（结果客观评分，模块总分</w:t>
      </w:r>
      <w:r>
        <w:rPr>
          <w:rStyle w:val="14"/>
          <w:lang w:val="en-US"/>
        </w:rPr>
        <w:t>10</w:t>
      </w:r>
      <w:r>
        <w:rPr>
          <w:rStyle w:val="19"/>
          <w:rFonts w:ascii="仿宋" w:hAnsi="仿宋" w:eastAsia="仿宋" w:cs="仿宋"/>
          <w:lang w:val="zh-TW" w:eastAsia="zh-TW"/>
        </w:rPr>
        <w:t>分）</w:t>
      </w:r>
    </w:p>
    <w:tbl>
      <w:tblPr>
        <w:tblStyle w:val="12"/>
        <w:tblW w:w="9639" w:type="dxa"/>
        <w:tblInd w:w="32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66"/>
        <w:gridCol w:w="2494"/>
        <w:gridCol w:w="1417"/>
        <w:gridCol w:w="851"/>
        <w:gridCol w:w="411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6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序号</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考核内容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配分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得分</w:t>
            </w: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364"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w:t>
            </w:r>
          </w:p>
        </w:tc>
        <w:tc>
          <w:tcPr>
            <w:tcW w:w="249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组态系统软件运行</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5</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numPr>
                <w:ilvl w:val="0"/>
                <w:numId w:val="3"/>
              </w:numPr>
              <w:rPr>
                <w:rStyle w:val="19"/>
                <w:rFonts w:ascii="仿宋" w:hAnsi="仿宋" w:eastAsia="仿宋" w:cs="仿宋"/>
                <w:sz w:val="21"/>
                <w:szCs w:val="21"/>
                <w:lang w:val="zh-TW" w:eastAsia="zh-TW"/>
              </w:rPr>
            </w:pPr>
            <w:r>
              <w:rPr>
                <w:rStyle w:val="15"/>
                <w:rFonts w:ascii="仿宋" w:hAnsi="仿宋" w:eastAsia="仿宋" w:cs="仿宋"/>
                <w:sz w:val="21"/>
                <w:szCs w:val="21"/>
                <w:lang w:val="zh-TW" w:eastAsia="zh-TW"/>
              </w:rPr>
              <w:t>组态构件完整；</w:t>
            </w:r>
          </w:p>
          <w:p>
            <w:pPr>
              <w:framePr w:w="0" w:wrap="auto" w:vAnchor="margin" w:hAnchor="text" w:yAlign="inline"/>
              <w:numPr>
                <w:ilvl w:val="0"/>
                <w:numId w:val="3"/>
              </w:numPr>
              <w:bidi w:val="0"/>
              <w:ind w:right="0"/>
              <w:jc w:val="both"/>
              <w:rPr>
                <w:rStyle w:val="19"/>
                <w:rFonts w:ascii="仿宋" w:hAnsi="仿宋" w:eastAsia="仿宋" w:cs="仿宋"/>
                <w:sz w:val="21"/>
                <w:szCs w:val="21"/>
                <w:lang w:val="zh-TW" w:eastAsia="zh-TW"/>
              </w:rPr>
            </w:pPr>
            <w:r>
              <w:rPr>
                <w:rStyle w:val="15"/>
                <w:rFonts w:ascii="仿宋" w:hAnsi="仿宋" w:eastAsia="仿宋" w:cs="仿宋"/>
                <w:sz w:val="21"/>
                <w:szCs w:val="21"/>
                <w:lang w:val="zh-TW" w:eastAsia="zh-TW"/>
              </w:rPr>
              <w:t>界面清晰美观；</w:t>
            </w:r>
          </w:p>
          <w:p>
            <w:pPr>
              <w:framePr w:w="0" w:wrap="auto" w:vAnchor="margin" w:hAnchor="text" w:yAlign="inline"/>
            </w:pPr>
            <w:r>
              <w:rPr>
                <w:rStyle w:val="19"/>
                <w:rFonts w:ascii="仿宋" w:hAnsi="仿宋" w:eastAsia="仿宋" w:cs="仿宋"/>
                <w:sz w:val="21"/>
                <w:szCs w:val="21"/>
                <w:lang w:val="en-US"/>
              </w:rPr>
              <w:t xml:space="preserve">3. </w:t>
            </w:r>
            <w:r>
              <w:rPr>
                <w:rStyle w:val="19"/>
                <w:rFonts w:ascii="仿宋" w:hAnsi="仿宋" w:eastAsia="仿宋" w:cs="仿宋"/>
                <w:sz w:val="21"/>
                <w:szCs w:val="21"/>
                <w:lang w:val="zh-TW" w:eastAsia="zh-TW"/>
              </w:rPr>
              <w:t>系统可正常运行。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52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2</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智能管控软件开发</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5</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numPr>
                <w:ilvl w:val="0"/>
                <w:numId w:val="4"/>
              </w:numPr>
              <w:rPr>
                <w:rFonts w:ascii="仿宋" w:hAnsi="仿宋" w:eastAsia="仿宋" w:cs="仿宋"/>
                <w:sz w:val="21"/>
                <w:szCs w:val="21"/>
                <w:lang w:val="zh-TW" w:eastAsia="zh-TW"/>
              </w:rPr>
            </w:pPr>
            <w:r>
              <w:rPr>
                <w:rStyle w:val="15"/>
                <w:rFonts w:ascii="仿宋" w:hAnsi="仿宋" w:eastAsia="仿宋" w:cs="仿宋"/>
                <w:sz w:val="21"/>
                <w:szCs w:val="21"/>
                <w:lang w:val="zh-TW" w:eastAsia="zh-TW"/>
              </w:rPr>
              <w:t>有带有界面的软件；</w:t>
            </w:r>
          </w:p>
          <w:p>
            <w:pPr>
              <w:framePr w:w="0" w:wrap="auto" w:vAnchor="margin" w:hAnchor="text" w:yAlign="inline"/>
              <w:numPr>
                <w:ilvl w:val="0"/>
                <w:numId w:val="4"/>
              </w:numPr>
              <w:bidi w:val="0"/>
              <w:ind w:right="0"/>
              <w:jc w:val="both"/>
              <w:rPr>
                <w:rFonts w:ascii="仿宋" w:hAnsi="仿宋" w:eastAsia="仿宋" w:cs="仿宋"/>
                <w:sz w:val="21"/>
                <w:szCs w:val="21"/>
                <w:lang w:val="zh-TW" w:eastAsia="zh-TW"/>
              </w:rPr>
            </w:pPr>
            <w:r>
              <w:rPr>
                <w:rStyle w:val="15"/>
                <w:rFonts w:ascii="仿宋" w:hAnsi="仿宋" w:eastAsia="仿宋" w:cs="仿宋"/>
                <w:sz w:val="21"/>
                <w:szCs w:val="21"/>
                <w:lang w:val="zh-TW" w:eastAsia="zh-TW"/>
              </w:rPr>
              <w:t>界面符合设计要求，且美观有序；</w:t>
            </w:r>
          </w:p>
          <w:p>
            <w:pPr>
              <w:framePr w:w="0" w:wrap="auto" w:vAnchor="margin" w:hAnchor="text" w:yAlign="inline"/>
              <w:numPr>
                <w:ilvl w:val="0"/>
                <w:numId w:val="4"/>
              </w:numPr>
              <w:bidi w:val="0"/>
              <w:ind w:right="0"/>
              <w:jc w:val="both"/>
              <w:rPr>
                <w:rFonts w:ascii="仿宋" w:hAnsi="仿宋" w:eastAsia="仿宋" w:cs="仿宋"/>
                <w:sz w:val="21"/>
                <w:szCs w:val="21"/>
                <w:lang w:val="zh-TW" w:eastAsia="zh-TW"/>
              </w:rPr>
            </w:pPr>
            <w:r>
              <w:rPr>
                <w:rStyle w:val="15"/>
                <w:rFonts w:ascii="仿宋" w:hAnsi="仿宋" w:eastAsia="仿宋" w:cs="仿宋"/>
                <w:sz w:val="21"/>
                <w:szCs w:val="21"/>
                <w:lang w:val="zh-TW" w:eastAsia="zh-TW"/>
              </w:rPr>
              <w:t>软件运行正常且可完成管控功能；</w:t>
            </w:r>
          </w:p>
          <w:p>
            <w:pPr>
              <w:framePr w:w="0" w:wrap="auto" w:vAnchor="margin" w:hAnchor="text" w:yAlign="inline"/>
              <w:numPr>
                <w:ilvl w:val="0"/>
                <w:numId w:val="4"/>
              </w:numPr>
              <w:bidi w:val="0"/>
              <w:ind w:right="0"/>
              <w:jc w:val="both"/>
              <w:rPr>
                <w:rFonts w:ascii="仿宋" w:hAnsi="仿宋" w:eastAsia="仿宋" w:cs="仿宋"/>
                <w:b/>
                <w:bCs/>
                <w:sz w:val="21"/>
                <w:szCs w:val="21"/>
                <w:lang w:val="zh-TW" w:eastAsia="zh-TW"/>
              </w:rPr>
            </w:pPr>
            <w:r>
              <w:rPr>
                <w:rStyle w:val="19"/>
                <w:rFonts w:hint="eastAsia" w:ascii="仿宋" w:hAnsi="仿宋" w:eastAsia="仿宋" w:cs="仿宋"/>
                <w:b w:val="0"/>
                <w:bCs w:val="0"/>
                <w:sz w:val="21"/>
                <w:szCs w:val="21"/>
                <w:lang w:val="zh-TW" w:eastAsia="zh-TW"/>
              </w:rPr>
              <w:t>软件能实现智能逻辑判断及执行。</w:t>
            </w:r>
          </w:p>
        </w:tc>
      </w:tr>
    </w:tbl>
    <w:p>
      <w:pPr>
        <w:framePr w:w="0" w:wrap="auto" w:vAnchor="margin" w:hAnchor="text" w:yAlign="inline"/>
        <w:ind w:left="216" w:hanging="216"/>
        <w:jc w:val="left"/>
      </w:pPr>
    </w:p>
    <w:p>
      <w:pPr>
        <w:framePr w:w="0" w:wrap="auto" w:vAnchor="margin" w:hAnchor="text" w:yAlign="inline"/>
        <w:ind w:left="108" w:hanging="108"/>
      </w:pPr>
    </w:p>
    <w:p>
      <w:pPr>
        <w:framePr w:w="0" w:wrap="auto" w:vAnchor="margin" w:hAnchor="text" w:yAlign="inline"/>
      </w:pPr>
      <w:r>
        <w:rPr>
          <w:rStyle w:val="14"/>
          <w:lang w:val="en-US"/>
        </w:rPr>
        <w:t>4</w:t>
      </w:r>
      <w:r>
        <w:rPr>
          <w:rStyle w:val="19"/>
          <w:rFonts w:ascii="仿宋" w:hAnsi="仿宋" w:eastAsia="仿宋" w:cs="仿宋"/>
          <w:lang w:val="zh-TW" w:eastAsia="zh-TW"/>
        </w:rPr>
        <w:t>、光伏电子系统运行与调试评分模块（结果客观评分，模块总分</w:t>
      </w:r>
      <w:r>
        <w:rPr>
          <w:rStyle w:val="14"/>
          <w:lang w:val="en-US"/>
        </w:rPr>
        <w:t>20</w:t>
      </w:r>
      <w:r>
        <w:rPr>
          <w:rStyle w:val="19"/>
          <w:rFonts w:ascii="仿宋" w:hAnsi="仿宋" w:eastAsia="仿宋" w:cs="仿宋"/>
          <w:lang w:val="zh-TW" w:eastAsia="zh-TW"/>
        </w:rPr>
        <w:t>分）</w:t>
      </w:r>
    </w:p>
    <w:tbl>
      <w:tblPr>
        <w:tblStyle w:val="12"/>
        <w:tblW w:w="9639" w:type="dxa"/>
        <w:tblInd w:w="32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66"/>
        <w:gridCol w:w="2494"/>
        <w:gridCol w:w="1417"/>
        <w:gridCol w:w="851"/>
        <w:gridCol w:w="411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6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序号</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考核内容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配分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得分</w:t>
            </w: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288"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光伏电子系统运行调试</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20</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numPr>
                <w:ilvl w:val="0"/>
                <w:numId w:val="5"/>
              </w:numPr>
              <w:rPr>
                <w:rStyle w:val="19"/>
                <w:rFonts w:ascii="仿宋" w:hAnsi="仿宋" w:eastAsia="仿宋" w:cs="仿宋"/>
                <w:sz w:val="21"/>
                <w:szCs w:val="21"/>
                <w:lang w:val="zh-TW" w:eastAsia="zh-TW"/>
              </w:rPr>
            </w:pPr>
            <w:r>
              <w:rPr>
                <w:rStyle w:val="15"/>
                <w:rFonts w:ascii="仿宋" w:hAnsi="仿宋" w:eastAsia="仿宋" w:cs="仿宋"/>
                <w:sz w:val="21"/>
                <w:szCs w:val="21"/>
                <w:lang w:val="zh-TW" w:eastAsia="zh-TW"/>
              </w:rPr>
              <w:t>使用组态系统功能检测光伏电子系统运行，</w:t>
            </w:r>
            <w:r>
              <w:rPr>
                <w:rStyle w:val="14"/>
                <w:rFonts w:ascii="仿宋" w:hAnsi="仿宋" w:eastAsia="仿宋" w:cs="仿宋"/>
                <w:sz w:val="21"/>
                <w:szCs w:val="21"/>
                <w:lang w:val="en-US"/>
              </w:rPr>
              <w:t>10</w:t>
            </w:r>
            <w:r>
              <w:rPr>
                <w:rStyle w:val="15"/>
                <w:rFonts w:ascii="仿宋" w:hAnsi="仿宋" w:eastAsia="仿宋" w:cs="仿宋"/>
                <w:sz w:val="21"/>
                <w:szCs w:val="21"/>
                <w:lang w:val="zh-TW" w:eastAsia="zh-TW"/>
              </w:rPr>
              <w:t>组管控功能，</w:t>
            </w:r>
            <w:r>
              <w:rPr>
                <w:rStyle w:val="14"/>
                <w:rFonts w:ascii="仿宋" w:hAnsi="仿宋" w:eastAsia="仿宋" w:cs="仿宋"/>
                <w:sz w:val="21"/>
                <w:szCs w:val="21"/>
                <w:lang w:val="en-US"/>
              </w:rPr>
              <w:t>4</w:t>
            </w:r>
            <w:r>
              <w:rPr>
                <w:rStyle w:val="15"/>
                <w:rFonts w:ascii="仿宋" w:hAnsi="仿宋" w:eastAsia="仿宋" w:cs="仿宋"/>
                <w:sz w:val="21"/>
                <w:szCs w:val="21"/>
                <w:lang w:val="zh-TW" w:eastAsia="zh-TW"/>
              </w:rPr>
              <w:t>组环境功能，</w:t>
            </w:r>
            <w:r>
              <w:rPr>
                <w:rStyle w:val="14"/>
                <w:rFonts w:ascii="仿宋" w:hAnsi="仿宋" w:eastAsia="仿宋" w:cs="仿宋"/>
                <w:sz w:val="21"/>
                <w:szCs w:val="21"/>
                <w:lang w:val="en-US"/>
              </w:rPr>
              <w:t>6</w:t>
            </w:r>
            <w:r>
              <w:rPr>
                <w:rStyle w:val="15"/>
                <w:rFonts w:ascii="仿宋" w:hAnsi="仿宋" w:eastAsia="仿宋" w:cs="仿宋"/>
                <w:sz w:val="21"/>
                <w:szCs w:val="21"/>
                <w:lang w:val="zh-TW" w:eastAsia="zh-TW"/>
              </w:rPr>
              <w:t>组采集功能都能正常；</w:t>
            </w:r>
          </w:p>
          <w:p>
            <w:pPr>
              <w:framePr w:w="0" w:wrap="auto" w:vAnchor="margin" w:hAnchor="text" w:yAlign="inline"/>
              <w:numPr>
                <w:ilvl w:val="0"/>
                <w:numId w:val="5"/>
              </w:numPr>
              <w:bidi w:val="0"/>
              <w:ind w:right="0"/>
              <w:jc w:val="both"/>
              <w:rPr>
                <w:rStyle w:val="19"/>
                <w:rFonts w:ascii="仿宋" w:hAnsi="仿宋" w:eastAsia="仿宋" w:cs="仿宋"/>
                <w:sz w:val="21"/>
                <w:szCs w:val="21"/>
                <w:lang w:val="zh-TW" w:eastAsia="zh-TW"/>
              </w:rPr>
            </w:pPr>
            <w:r>
              <w:rPr>
                <w:rStyle w:val="15"/>
                <w:rFonts w:ascii="仿宋" w:hAnsi="仿宋" w:eastAsia="仿宋" w:cs="仿宋"/>
                <w:sz w:val="21"/>
                <w:szCs w:val="21"/>
                <w:lang w:val="zh-TW" w:eastAsia="zh-TW"/>
              </w:rPr>
              <w:t>采集面板上</w:t>
            </w:r>
            <w:r>
              <w:rPr>
                <w:rStyle w:val="14"/>
                <w:rFonts w:ascii="仿宋" w:hAnsi="仿宋" w:eastAsia="仿宋" w:cs="仿宋"/>
                <w:sz w:val="21"/>
                <w:szCs w:val="21"/>
                <w:lang w:val="en-US"/>
              </w:rPr>
              <w:t>9</w:t>
            </w:r>
            <w:r>
              <w:rPr>
                <w:rStyle w:val="15"/>
                <w:rFonts w:ascii="仿宋" w:hAnsi="仿宋" w:eastAsia="仿宋" w:cs="仿宋"/>
                <w:sz w:val="21"/>
                <w:szCs w:val="21"/>
                <w:lang w:val="zh-TW" w:eastAsia="zh-TW"/>
              </w:rPr>
              <w:t>组监控仪表，每一组数据正常显示；</w:t>
            </w:r>
          </w:p>
          <w:p>
            <w:pPr>
              <w:framePr w:w="0" w:wrap="auto" w:vAnchor="margin" w:hAnchor="text" w:yAlign="inline"/>
              <w:numPr>
                <w:ilvl w:val="0"/>
                <w:numId w:val="5"/>
              </w:numPr>
              <w:bidi w:val="0"/>
              <w:ind w:right="0"/>
              <w:jc w:val="both"/>
              <w:rPr>
                <w:rStyle w:val="19"/>
                <w:rFonts w:ascii="仿宋" w:hAnsi="仿宋" w:eastAsia="仿宋" w:cs="仿宋"/>
                <w:sz w:val="21"/>
                <w:szCs w:val="21"/>
                <w:lang w:val="zh-TW" w:eastAsia="zh-TW"/>
              </w:rPr>
            </w:pPr>
            <w:r>
              <w:rPr>
                <w:rStyle w:val="15"/>
                <w:rFonts w:ascii="仿宋" w:hAnsi="仿宋" w:eastAsia="仿宋" w:cs="仿宋"/>
                <w:sz w:val="21"/>
                <w:szCs w:val="21"/>
                <w:lang w:val="zh-TW" w:eastAsia="zh-TW"/>
              </w:rPr>
              <w:t>布线清晰标准；</w:t>
            </w:r>
          </w:p>
          <w:p>
            <w:pPr>
              <w:framePr w:w="0" w:wrap="auto" w:vAnchor="margin" w:hAnchor="text" w:yAlign="inline"/>
            </w:pPr>
            <w:r>
              <w:rPr>
                <w:rStyle w:val="19"/>
                <w:rFonts w:ascii="仿宋" w:hAnsi="仿宋" w:eastAsia="仿宋" w:cs="仿宋"/>
                <w:sz w:val="21"/>
                <w:szCs w:val="21"/>
                <w:lang w:val="en-US"/>
              </w:rPr>
              <w:t xml:space="preserve">4. </w:t>
            </w:r>
            <w:r>
              <w:rPr>
                <w:rStyle w:val="19"/>
                <w:rFonts w:ascii="仿宋" w:hAnsi="仿宋" w:eastAsia="仿宋" w:cs="仿宋"/>
                <w:sz w:val="21"/>
                <w:szCs w:val="21"/>
                <w:lang w:val="zh-TW" w:eastAsia="zh-TW"/>
              </w:rPr>
              <w:t>所有线头均有号码管。</w:t>
            </w:r>
          </w:p>
        </w:tc>
      </w:tr>
    </w:tbl>
    <w:p>
      <w:pPr>
        <w:framePr w:w="0" w:wrap="auto" w:vAnchor="margin" w:hAnchor="text" w:yAlign="inline"/>
        <w:ind w:left="216" w:hanging="216"/>
        <w:jc w:val="left"/>
      </w:pPr>
    </w:p>
    <w:p>
      <w:pPr>
        <w:framePr w:w="0" w:wrap="auto" w:vAnchor="margin" w:hAnchor="text" w:yAlign="inline"/>
        <w:ind w:left="108" w:hanging="108"/>
      </w:pPr>
    </w:p>
    <w:p>
      <w:pPr>
        <w:framePr w:w="0" w:wrap="auto" w:vAnchor="margin" w:hAnchor="text" w:yAlign="inline"/>
      </w:pPr>
      <w:r>
        <w:rPr>
          <w:rStyle w:val="14"/>
          <w:lang w:val="en-US"/>
        </w:rPr>
        <w:t>5</w:t>
      </w:r>
      <w:r>
        <w:rPr>
          <w:rStyle w:val="19"/>
          <w:rFonts w:ascii="仿宋" w:hAnsi="仿宋" w:eastAsia="仿宋" w:cs="仿宋"/>
          <w:lang w:val="zh-TW" w:eastAsia="zh-TW"/>
        </w:rPr>
        <w:t>、区域能源分析与排布</w:t>
      </w:r>
      <w:r>
        <w:rPr>
          <w:rStyle w:val="14"/>
          <w:lang w:val="en-US"/>
        </w:rPr>
        <w:t>A</w:t>
      </w:r>
      <w:r>
        <w:rPr>
          <w:rStyle w:val="19"/>
          <w:rFonts w:ascii="仿宋" w:hAnsi="仿宋" w:eastAsia="仿宋" w:cs="仿宋"/>
          <w:lang w:val="zh-TW" w:eastAsia="zh-TW"/>
        </w:rPr>
        <w:t>评分模块（结果客观评分，模块总分</w:t>
      </w:r>
      <w:r>
        <w:rPr>
          <w:rStyle w:val="14"/>
          <w:lang w:val="en-US"/>
        </w:rPr>
        <w:t>15</w:t>
      </w:r>
      <w:r>
        <w:rPr>
          <w:rStyle w:val="19"/>
          <w:rFonts w:ascii="仿宋" w:hAnsi="仿宋" w:eastAsia="仿宋" w:cs="仿宋"/>
          <w:lang w:val="zh-TW" w:eastAsia="zh-TW"/>
        </w:rPr>
        <w:t>分）</w:t>
      </w:r>
    </w:p>
    <w:tbl>
      <w:tblPr>
        <w:tblStyle w:val="12"/>
        <w:tblW w:w="9639" w:type="dxa"/>
        <w:tblInd w:w="32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66"/>
        <w:gridCol w:w="2494"/>
        <w:gridCol w:w="1417"/>
        <w:gridCol w:w="851"/>
        <w:gridCol w:w="411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6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序号</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考核内容</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配分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得分</w:t>
            </w: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89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方案运行</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15</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按照光伏电子工程规划方案评价指标在供电不足，太阳能选址，太阳倾角设置，储能，弃电天数，占地格数等</w:t>
            </w:r>
            <w:r>
              <w:rPr>
                <w:rStyle w:val="19"/>
                <w:rFonts w:ascii="仿宋" w:hAnsi="仿宋" w:eastAsia="仿宋" w:cs="仿宋"/>
                <w:sz w:val="21"/>
                <w:szCs w:val="21"/>
                <w:lang w:val="en-US"/>
              </w:rPr>
              <w:t>10</w:t>
            </w:r>
            <w:r>
              <w:rPr>
                <w:rStyle w:val="19"/>
                <w:rFonts w:ascii="仿宋" w:hAnsi="仿宋" w:eastAsia="仿宋" w:cs="仿宋"/>
                <w:sz w:val="21"/>
                <w:szCs w:val="21"/>
                <w:lang w:val="zh-TW" w:eastAsia="zh-TW"/>
              </w:rPr>
              <w:t>个方面进行调优。</w:t>
            </w:r>
          </w:p>
        </w:tc>
      </w:tr>
    </w:tbl>
    <w:p>
      <w:pPr>
        <w:framePr w:w="0" w:wrap="auto" w:vAnchor="margin" w:hAnchor="text" w:yAlign="inline"/>
        <w:ind w:left="216" w:hanging="216"/>
        <w:jc w:val="left"/>
      </w:pPr>
    </w:p>
    <w:p>
      <w:pPr>
        <w:framePr w:w="0" w:wrap="auto" w:vAnchor="margin" w:hAnchor="text" w:yAlign="inline"/>
        <w:ind w:left="108" w:hanging="108"/>
      </w:pPr>
    </w:p>
    <w:p>
      <w:pPr>
        <w:framePr w:w="0" w:wrap="auto" w:vAnchor="margin" w:hAnchor="text" w:yAlign="inline"/>
      </w:pPr>
      <w:r>
        <w:rPr>
          <w:rStyle w:val="14"/>
          <w:lang w:val="en-US"/>
        </w:rPr>
        <w:t>6</w:t>
      </w:r>
      <w:r>
        <w:rPr>
          <w:rStyle w:val="19"/>
          <w:rFonts w:ascii="仿宋" w:hAnsi="仿宋" w:eastAsia="仿宋" w:cs="仿宋"/>
          <w:lang w:val="zh-TW" w:eastAsia="zh-TW"/>
        </w:rPr>
        <w:t>、职业规范与安全生产（结果主观评分，模块总分</w:t>
      </w:r>
      <w:r>
        <w:rPr>
          <w:rStyle w:val="14"/>
          <w:lang w:val="en-US"/>
        </w:rPr>
        <w:t>10</w:t>
      </w:r>
      <w:r>
        <w:rPr>
          <w:rStyle w:val="19"/>
          <w:rFonts w:ascii="仿宋" w:hAnsi="仿宋" w:eastAsia="仿宋" w:cs="仿宋"/>
          <w:lang w:val="zh-TW" w:eastAsia="zh-TW"/>
        </w:rPr>
        <w:t>分）</w:t>
      </w:r>
    </w:p>
    <w:tbl>
      <w:tblPr>
        <w:tblStyle w:val="12"/>
        <w:tblW w:w="9639" w:type="dxa"/>
        <w:tblInd w:w="32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66"/>
        <w:gridCol w:w="2494"/>
        <w:gridCol w:w="1417"/>
        <w:gridCol w:w="851"/>
        <w:gridCol w:w="411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63"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序号</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考核内容</w:t>
            </w:r>
          </w:p>
        </w:tc>
        <w:tc>
          <w:tcPr>
            <w:tcW w:w="141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配分</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得分</w:t>
            </w:r>
          </w:p>
        </w:tc>
        <w:tc>
          <w:tcPr>
            <w:tcW w:w="411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framePr w:w="0" w:wrap="auto" w:vAnchor="margin" w:hAnchor="text" w:yAlign="inline"/>
              <w:jc w:val="center"/>
            </w:pPr>
            <w:r>
              <w:rPr>
                <w:rStyle w:val="19"/>
                <w:rFonts w:ascii="仿宋_GB2312" w:hAnsi="仿宋_GB2312" w:eastAsia="仿宋_GB2312" w:cs="仿宋_GB2312"/>
                <w:b/>
                <w:bCs/>
                <w:sz w:val="24"/>
                <w:szCs w:val="24"/>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46"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1</w:t>
            </w:r>
          </w:p>
        </w:tc>
        <w:tc>
          <w:tcPr>
            <w:tcW w:w="249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方案综合评估</w:t>
            </w:r>
          </w:p>
        </w:tc>
        <w:tc>
          <w:tcPr>
            <w:tcW w:w="141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5</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对总体设计思路、具体设计和优化过程几个方面对规划方案进行综合评估。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690" w:hRule="atLeast"/>
        </w:trPr>
        <w:tc>
          <w:tcPr>
            <w:tcW w:w="76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jc w:val="center"/>
            </w:pPr>
            <w:r>
              <w:rPr>
                <w:rStyle w:val="19"/>
                <w:sz w:val="21"/>
                <w:szCs w:val="21"/>
                <w:lang w:val="en-US"/>
              </w:rPr>
              <w:t>2</w:t>
            </w:r>
          </w:p>
        </w:tc>
        <w:tc>
          <w:tcPr>
            <w:tcW w:w="24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宋体" w:hAnsi="宋体" w:eastAsia="宋体" w:cs="宋体"/>
                <w:sz w:val="21"/>
                <w:szCs w:val="21"/>
                <w:lang w:val="zh-TW" w:eastAsia="zh-TW"/>
              </w:rPr>
              <w:t>规范与安全生产</w:t>
            </w:r>
          </w:p>
        </w:tc>
        <w:tc>
          <w:tcPr>
            <w:tcW w:w="1417"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framePr w:w="0" w:wrap="auto" w:vAnchor="margin" w:hAnchor="text" w:yAlign="inline"/>
              <w:jc w:val="center"/>
            </w:pPr>
            <w:r>
              <w:rPr>
                <w:rStyle w:val="19"/>
                <w:rFonts w:ascii="仿宋" w:hAnsi="仿宋" w:eastAsia="仿宋" w:cs="仿宋"/>
                <w:sz w:val="21"/>
                <w:szCs w:val="21"/>
                <w:lang w:val="en-US"/>
              </w:rPr>
              <w:t>5</w:t>
            </w:r>
            <w:r>
              <w:rPr>
                <w:rStyle w:val="19"/>
                <w:rFonts w:ascii="仿宋" w:hAnsi="仿宋" w:eastAsia="仿宋" w:cs="仿宋"/>
                <w:sz w:val="21"/>
                <w:szCs w:val="21"/>
                <w:lang w:val="zh-TW" w:eastAsia="zh-TW"/>
              </w:rPr>
              <w:t>分</w:t>
            </w: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tc>
        <w:tc>
          <w:tcPr>
            <w:tcW w:w="41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pPr>
            <w:r>
              <w:rPr>
                <w:rStyle w:val="19"/>
                <w:rFonts w:ascii="仿宋" w:hAnsi="仿宋" w:eastAsia="仿宋" w:cs="仿宋"/>
                <w:sz w:val="21"/>
                <w:szCs w:val="21"/>
                <w:lang w:val="zh-TW" w:eastAsia="zh-TW"/>
              </w:rPr>
              <w:t>遵守安全操作规程，文明比赛，现场整洁有序。由裁判综合评定，</w:t>
            </w:r>
            <w:r>
              <w:rPr>
                <w:rStyle w:val="19"/>
                <w:rFonts w:ascii="仿宋" w:hAnsi="仿宋" w:eastAsia="仿宋" w:cs="仿宋"/>
                <w:sz w:val="21"/>
                <w:szCs w:val="21"/>
                <w:lang w:val="en-US"/>
              </w:rPr>
              <w:t>5</w:t>
            </w:r>
            <w:r>
              <w:rPr>
                <w:rStyle w:val="19"/>
                <w:rFonts w:ascii="仿宋" w:hAnsi="仿宋" w:eastAsia="仿宋" w:cs="仿宋"/>
                <w:sz w:val="21"/>
                <w:szCs w:val="21"/>
                <w:lang w:val="zh-TW" w:eastAsia="zh-TW"/>
              </w:rPr>
              <w:t>分。</w:t>
            </w:r>
          </w:p>
        </w:tc>
      </w:tr>
    </w:tbl>
    <w:p>
      <w:pPr>
        <w:framePr w:w="0" w:wrap="auto" w:vAnchor="margin" w:hAnchor="text" w:yAlign="inline"/>
        <w:ind w:left="216" w:hanging="216"/>
        <w:jc w:val="left"/>
      </w:pPr>
    </w:p>
    <w:p>
      <w:pPr>
        <w:framePr w:w="0" w:wrap="auto" w:vAnchor="margin" w:hAnchor="text" w:yAlign="inline"/>
        <w:ind w:left="108" w:hanging="108"/>
      </w:pPr>
    </w:p>
    <w:p>
      <w:pPr>
        <w:framePr w:w="0" w:wrap="auto" w:vAnchor="margin" w:hAnchor="text" w:yAlign="inline"/>
      </w:pPr>
    </w:p>
    <w:p>
      <w:pPr>
        <w:pStyle w:val="2"/>
        <w:framePr w:w="0" w:wrap="auto" w:vAnchor="margin" w:hAnchor="text" w:yAlign="inline"/>
        <w:numPr>
          <w:ilvl w:val="0"/>
          <w:numId w:val="0"/>
        </w:numPr>
        <w:bidi w:val="0"/>
        <w:ind w:leftChars="0" w:right="0" w:rightChars="0"/>
        <w:jc w:val="both"/>
        <w:rPr>
          <w:rStyle w:val="29"/>
          <w:b/>
          <w:bCs/>
          <w:lang w:val="zh-TW" w:eastAsia="zh-TW"/>
        </w:rPr>
      </w:pPr>
      <w:bookmarkStart w:id="74" w:name="_Toc16814"/>
      <w:bookmarkStart w:id="75" w:name="_Toc34"/>
      <w:r>
        <w:rPr>
          <w:rStyle w:val="15"/>
          <w:rFonts w:hint="eastAsia" w:ascii="仿宋" w:hAnsi="仿宋" w:eastAsia="仿宋" w:cs="仿宋"/>
          <w:lang w:val="zh-TW" w:eastAsia="zh-CN"/>
        </w:rPr>
        <w:t>十</w:t>
      </w:r>
      <w:r>
        <w:rPr>
          <w:rStyle w:val="29"/>
          <w:rFonts w:hint="eastAsia"/>
          <w:b/>
          <w:bCs/>
          <w:lang w:val="zh-TW" w:eastAsia="zh-CN"/>
        </w:rPr>
        <w:t>一、</w:t>
      </w:r>
      <w:r>
        <w:rPr>
          <w:rStyle w:val="29"/>
          <w:b/>
          <w:bCs/>
          <w:lang w:val="zh-TW" w:eastAsia="zh-TW"/>
        </w:rPr>
        <w:t>奖项设置</w:t>
      </w:r>
      <w:bookmarkEnd w:id="74"/>
      <w:bookmarkEnd w:id="75"/>
    </w:p>
    <w:p>
      <w:pPr>
        <w:framePr w:w="0" w:wrap="auto" w:vAnchor="margin" w:hAnchor="text" w:yAlign="inline"/>
        <w:spacing w:line="500" w:lineRule="exact"/>
        <w:ind w:firstLine="560"/>
        <w:rPr>
          <w:rStyle w:val="19"/>
          <w:rFonts w:ascii="仿宋" w:hAnsi="仿宋" w:eastAsia="仿宋" w:cs="仿宋"/>
          <w:lang w:val="zh-TW" w:eastAsia="zh-TW"/>
        </w:rPr>
      </w:pPr>
      <w:bookmarkStart w:id="76" w:name="OLE_LINK14"/>
      <w:r>
        <w:rPr>
          <w:rStyle w:val="19"/>
          <w:rFonts w:ascii="仿宋" w:hAnsi="仿宋" w:eastAsia="仿宋" w:cs="仿宋"/>
          <w:lang w:val="zh-TW" w:eastAsia="zh-TW"/>
        </w:rPr>
        <w:t>竞赛设参赛选手团体奖，以赛项实际参赛队总数为基数，一等奖占比10%，二等奖占比20%，三等奖占比30%，小数点后四舍五入；</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获得一、二、三等奖的团体赛参赛选手，授予相应荣誉证书；获得一等奖的团体赛参赛队，授予奖杯；</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获得一等奖的参赛队指导教师获“优秀指导教师奖”，授予荣誉证书；</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大赛所有荣誉证书、奖杯由大赛组委会统一制作颁发。</w:t>
      </w:r>
      <w:bookmarkEnd w:id="76"/>
    </w:p>
    <w:p>
      <w:pPr>
        <w:pStyle w:val="2"/>
        <w:keepNext/>
        <w:keepLines/>
        <w:pageBreakBefore w:val="0"/>
        <w:framePr w:w="0" w:wrap="auto" w:vAnchor="margin" w:hAnchor="text" w:yAlign="inline"/>
        <w:widowControl w:val="0"/>
        <w:numPr>
          <w:ilvl w:val="0"/>
          <w:numId w:val="0"/>
        </w:numPr>
        <w:kinsoku/>
        <w:wordWrap/>
        <w:overflowPunct/>
        <w:topLinePunct w:val="0"/>
        <w:autoSpaceDE/>
        <w:autoSpaceDN/>
        <w:bidi w:val="0"/>
        <w:adjustRightInd/>
        <w:snapToGrid/>
        <w:spacing w:before="340" w:after="90" w:line="579" w:lineRule="auto"/>
        <w:ind w:left="0" w:leftChars="0" w:right="0" w:rightChars="0" w:firstLine="0" w:firstLineChars="0"/>
        <w:jc w:val="both"/>
        <w:textAlignment w:val="auto"/>
        <w:outlineLvl w:val="0"/>
        <w:rPr>
          <w:rStyle w:val="15"/>
          <w:rFonts w:ascii="仿宋" w:hAnsi="仿宋" w:eastAsia="仿宋" w:cs="仿宋"/>
          <w:lang w:val="zh-TW" w:eastAsia="zh-TW"/>
        </w:rPr>
      </w:pPr>
      <w:bookmarkStart w:id="77" w:name="_Toc27369"/>
      <w:bookmarkStart w:id="78" w:name="_Toc35"/>
      <w:r>
        <w:rPr>
          <w:rStyle w:val="15"/>
          <w:rFonts w:hint="eastAsia" w:ascii="仿宋" w:hAnsi="仿宋" w:eastAsia="仿宋" w:cs="仿宋"/>
          <w:lang w:val="zh-TW" w:eastAsia="zh-CN"/>
        </w:rPr>
        <w:t>十</w:t>
      </w:r>
      <w:r>
        <w:rPr>
          <w:rStyle w:val="29"/>
          <w:rFonts w:hint="eastAsia"/>
          <w:b/>
          <w:bCs/>
          <w:lang w:val="zh-TW" w:eastAsia="zh-CN"/>
        </w:rPr>
        <w:t>二、</w:t>
      </w:r>
      <w:r>
        <w:rPr>
          <w:rStyle w:val="29"/>
          <w:b/>
          <w:bCs/>
          <w:lang w:val="zh-TW" w:eastAsia="zh-TW"/>
        </w:rPr>
        <w:t>技术规范</w:t>
      </w:r>
      <w:bookmarkEnd w:id="77"/>
      <w:bookmarkEnd w:id="78"/>
    </w:p>
    <w:p>
      <w:pPr>
        <w:framePr w:w="0" w:wrap="auto" w:vAnchor="margin" w:hAnchor="text" w:yAlign="inline"/>
        <w:spacing w:line="500" w:lineRule="exact"/>
        <w:ind w:firstLine="560"/>
        <w:rPr>
          <w:rStyle w:val="19"/>
          <w:rFonts w:ascii="仿宋" w:hAnsi="仿宋" w:eastAsia="仿宋" w:cs="仿宋"/>
          <w:lang w:val="zh-TW" w:eastAsia="zh-TW"/>
        </w:rPr>
      </w:pPr>
      <w:bookmarkStart w:id="79" w:name="OLE_LINK15"/>
      <w:r>
        <w:rPr>
          <w:rStyle w:val="19"/>
          <w:rFonts w:ascii="仿宋" w:hAnsi="仿宋" w:eastAsia="仿宋" w:cs="仿宋"/>
          <w:lang w:val="zh-TW" w:eastAsia="zh-TW"/>
        </w:rPr>
        <w:t>本赛项遵循以下国际相关标准，国家相关标准和行业相关标准：</w:t>
      </w:r>
    </w:p>
    <w:p>
      <w:pPr>
        <w:framePr w:w="0" w:wrap="auto" w:vAnchor="margin" w:hAnchor="text" w:yAlign="inline"/>
        <w:numPr>
          <w:ilvl w:val="0"/>
          <w:numId w:val="0"/>
        </w:numPr>
        <w:bidi w:val="0"/>
        <w:spacing w:line="500" w:lineRule="exact"/>
        <w:ind w:right="0" w:rightChars="0"/>
        <w:jc w:val="both"/>
        <w:rPr>
          <w:rStyle w:val="19"/>
          <w:rFonts w:ascii="仿宋" w:hAnsi="仿宋" w:eastAsia="仿宋" w:cs="仿宋"/>
          <w:lang w:val="zh-TW" w:eastAsia="zh-TW"/>
        </w:rPr>
      </w:pPr>
      <w:r>
        <w:rPr>
          <w:rStyle w:val="15"/>
          <w:rFonts w:hint="eastAsia" w:ascii="仿宋" w:hAnsi="仿宋" w:eastAsia="仿宋" w:cs="仿宋"/>
          <w:lang w:val="en-US" w:eastAsia="zh-CN"/>
        </w:rPr>
        <w:t xml:space="preserve">    </w:t>
      </w:r>
      <w:r>
        <w:rPr>
          <w:rStyle w:val="15"/>
          <w:rFonts w:hint="eastAsia" w:ascii="仿宋" w:hAnsi="仿宋" w:eastAsia="仿宋" w:cs="仿宋"/>
          <w:lang w:val="zh-TW" w:eastAsia="zh-CN"/>
        </w:rPr>
        <w:t>（</w:t>
      </w:r>
      <w:r>
        <w:rPr>
          <w:rStyle w:val="15"/>
          <w:rFonts w:hint="eastAsia" w:ascii="仿宋" w:hAnsi="仿宋" w:eastAsia="仿宋" w:cs="仿宋"/>
          <w:lang w:val="en-US" w:eastAsia="zh-CN"/>
        </w:rPr>
        <w:t>1</w:t>
      </w:r>
      <w:r>
        <w:rPr>
          <w:rStyle w:val="15"/>
          <w:rFonts w:hint="eastAsia" w:ascii="仿宋" w:hAnsi="仿宋" w:eastAsia="仿宋" w:cs="仿宋"/>
          <w:lang w:val="zh-TW" w:eastAsia="zh-CN"/>
        </w:rPr>
        <w:t>）</w:t>
      </w:r>
      <w:r>
        <w:rPr>
          <w:rStyle w:val="15"/>
          <w:rFonts w:ascii="仿宋" w:hAnsi="仿宋" w:eastAsia="仿宋" w:cs="仿宋"/>
          <w:lang w:val="zh-TW" w:eastAsia="zh-TW"/>
        </w:rPr>
        <w:t>IEC61215 Crystalline silicon terrestrial photovoltaic（</w:t>
      </w:r>
      <w:r>
        <w:rPr>
          <w:rStyle w:val="14"/>
          <w:rFonts w:ascii="仿宋" w:hAnsi="仿宋" w:eastAsia="仿宋" w:cs="仿宋"/>
          <w:lang w:val="en-US"/>
        </w:rPr>
        <w:t>PV</w:t>
      </w:r>
      <w:r>
        <w:rPr>
          <w:rStyle w:val="15"/>
          <w:rFonts w:ascii="仿宋" w:hAnsi="仿宋" w:eastAsia="仿宋" w:cs="仿宋"/>
          <w:lang w:val="zh-TW" w:eastAsia="zh-TW"/>
        </w:rPr>
        <w:t>）modules-Design qualification and type approval地面用晶体硅光伏组件-设计鉴定与定型</w:t>
      </w:r>
    </w:p>
    <w:p>
      <w:pPr>
        <w:framePr w:w="0" w:wrap="auto" w:vAnchor="margin" w:hAnchor="text" w:yAlign="inline"/>
        <w:numPr>
          <w:ilvl w:val="0"/>
          <w:numId w:val="0"/>
        </w:numPr>
        <w:bidi w:val="0"/>
        <w:spacing w:line="500" w:lineRule="exact"/>
        <w:ind w:right="0" w:rightChars="0"/>
        <w:jc w:val="left"/>
        <w:rPr>
          <w:rStyle w:val="19"/>
          <w:rFonts w:ascii="仿宋" w:hAnsi="仿宋" w:eastAsia="仿宋" w:cs="仿宋"/>
          <w:lang w:val="en-US"/>
        </w:rPr>
      </w:pPr>
      <w:r>
        <w:rPr>
          <w:rStyle w:val="14"/>
          <w:rFonts w:hint="eastAsia" w:ascii="仿宋" w:hAnsi="仿宋" w:eastAsia="仿宋" w:cs="仿宋"/>
          <w:lang w:val="en-US" w:eastAsia="zh-CN"/>
        </w:rPr>
        <w:t xml:space="preserve">    （2）</w:t>
      </w:r>
      <w:r>
        <w:rPr>
          <w:rStyle w:val="14"/>
          <w:rFonts w:ascii="仿宋" w:hAnsi="仿宋" w:eastAsia="仿宋" w:cs="仿宋"/>
          <w:lang w:val="en-US"/>
        </w:rPr>
        <w:t>IEC61730</w:t>
      </w:r>
      <w:r>
        <w:rPr>
          <w:rStyle w:val="15"/>
          <w:rFonts w:ascii="仿宋" w:hAnsi="仿宋" w:eastAsia="仿宋" w:cs="仿宋"/>
          <w:lang w:val="zh-TW" w:eastAsia="zh-TW"/>
        </w:rPr>
        <w:t>　</w:t>
      </w:r>
      <w:r>
        <w:rPr>
          <w:rStyle w:val="14"/>
          <w:rFonts w:ascii="仿宋" w:hAnsi="仿宋" w:eastAsia="仿宋" w:cs="仿宋"/>
          <w:lang w:val="en-US"/>
        </w:rPr>
        <w:t>photovoltac</w:t>
      </w:r>
      <w:r>
        <w:rPr>
          <w:rStyle w:val="15"/>
          <w:rFonts w:ascii="仿宋" w:hAnsi="仿宋" w:eastAsia="仿宋" w:cs="仿宋"/>
          <w:lang w:val="zh-TW" w:eastAsia="zh-TW"/>
        </w:rPr>
        <w:t>　</w:t>
      </w:r>
      <w:r>
        <w:rPr>
          <w:rStyle w:val="14"/>
          <w:rFonts w:ascii="仿宋" w:hAnsi="仿宋" w:eastAsia="仿宋" w:cs="仿宋"/>
          <w:lang w:val="en-US"/>
        </w:rPr>
        <w:t>(PV)</w:t>
      </w:r>
      <w:r>
        <w:rPr>
          <w:rStyle w:val="15"/>
          <w:rFonts w:ascii="仿宋" w:hAnsi="仿宋" w:eastAsia="仿宋" w:cs="仿宋"/>
          <w:lang w:val="zh-TW" w:eastAsia="zh-TW"/>
        </w:rPr>
        <w:t>　</w:t>
      </w:r>
      <w:r>
        <w:rPr>
          <w:rStyle w:val="14"/>
          <w:rFonts w:ascii="仿宋" w:hAnsi="仿宋" w:eastAsia="仿宋" w:cs="仿宋"/>
          <w:lang w:val="en-US"/>
        </w:rPr>
        <w:t>module</w:t>
      </w:r>
      <w:r>
        <w:rPr>
          <w:rStyle w:val="15"/>
          <w:rFonts w:ascii="仿宋" w:hAnsi="仿宋" w:eastAsia="仿宋" w:cs="仿宋"/>
          <w:lang w:val="zh-TW" w:eastAsia="zh-TW"/>
        </w:rPr>
        <w:t>　</w:t>
      </w:r>
      <w:r>
        <w:rPr>
          <w:rStyle w:val="14"/>
          <w:rFonts w:ascii="仿宋" w:hAnsi="仿宋" w:eastAsia="仿宋" w:cs="仿宋"/>
          <w:lang w:val="en-US"/>
        </w:rPr>
        <w:t>safety qualification-Part1</w:t>
      </w:r>
      <w:r>
        <w:rPr>
          <w:rStyle w:val="15"/>
          <w:rFonts w:ascii="仿宋" w:hAnsi="仿宋" w:eastAsia="仿宋" w:cs="仿宋"/>
          <w:lang w:val="zh-TW" w:eastAsia="zh-TW"/>
        </w:rPr>
        <w:t>：</w:t>
      </w:r>
      <w:r>
        <w:rPr>
          <w:rStyle w:val="14"/>
          <w:rFonts w:ascii="仿宋" w:hAnsi="仿宋" w:eastAsia="仿宋" w:cs="仿宋"/>
          <w:lang w:val="en-US"/>
        </w:rPr>
        <w:t xml:space="preserve">Requirements for construction </w:t>
      </w:r>
      <w:r>
        <w:rPr>
          <w:rStyle w:val="15"/>
          <w:rFonts w:ascii="仿宋" w:hAnsi="仿宋" w:eastAsia="仿宋" w:cs="仿宋"/>
          <w:lang w:val="zh-TW" w:eastAsia="zh-TW"/>
        </w:rPr>
        <w:t>光伏（</w:t>
      </w:r>
      <w:r>
        <w:rPr>
          <w:rStyle w:val="14"/>
          <w:rFonts w:ascii="仿宋" w:hAnsi="仿宋" w:eastAsia="仿宋" w:cs="仿宋"/>
          <w:lang w:val="en-US"/>
        </w:rPr>
        <w:t>PV</w:t>
      </w:r>
      <w:r>
        <w:rPr>
          <w:rStyle w:val="15"/>
          <w:rFonts w:ascii="仿宋" w:hAnsi="仿宋" w:eastAsia="仿宋" w:cs="仿宋"/>
          <w:lang w:val="zh-TW" w:eastAsia="zh-TW"/>
        </w:rPr>
        <w:t>）组件安全鉴定</w:t>
      </w:r>
    </w:p>
    <w:p>
      <w:pPr>
        <w:framePr w:w="0" w:wrap="auto" w:vAnchor="margin" w:hAnchor="text" w:yAlign="inline"/>
        <w:spacing w:line="500" w:lineRule="exact"/>
        <w:ind w:firstLine="560"/>
        <w:rPr>
          <w:rStyle w:val="19"/>
          <w:rFonts w:ascii="仿宋" w:hAnsi="仿宋" w:eastAsia="仿宋" w:cs="仿宋"/>
        </w:rPr>
      </w:pPr>
      <w:r>
        <w:rPr>
          <w:rStyle w:val="19"/>
          <w:rFonts w:hint="eastAsia" w:ascii="仿宋" w:hAnsi="仿宋" w:eastAsia="仿宋" w:cs="仿宋"/>
          <w:lang w:val="zh-TW" w:eastAsia="zh-CN"/>
        </w:rPr>
        <w:t>（</w:t>
      </w:r>
      <w:r>
        <w:rPr>
          <w:rStyle w:val="19"/>
          <w:rFonts w:hint="eastAsia" w:ascii="仿宋" w:hAnsi="仿宋" w:eastAsia="仿宋" w:cs="仿宋"/>
          <w:lang w:val="en-US" w:eastAsia="zh-CN"/>
        </w:rPr>
        <w:t>3</w:t>
      </w:r>
      <w:r>
        <w:rPr>
          <w:rStyle w:val="19"/>
          <w:rFonts w:hint="eastAsia" w:ascii="仿宋" w:hAnsi="仿宋" w:eastAsia="仿宋" w:cs="仿宋"/>
          <w:lang w:val="zh-TW" w:eastAsia="zh-CN"/>
        </w:rPr>
        <w:t>）</w:t>
      </w:r>
      <w:r>
        <w:rPr>
          <w:rStyle w:val="19"/>
          <w:rFonts w:ascii="仿宋" w:hAnsi="仿宋" w:eastAsia="仿宋" w:cs="仿宋"/>
          <w:lang w:val="zh-TW" w:eastAsia="zh-TW"/>
        </w:rPr>
        <w:t>IEC61173Overvoltage protection for photovoltaic（PV）Power generatingsystems-Guid</w:t>
      </w:r>
      <w:r>
        <w:rPr>
          <w:rStyle w:val="22"/>
          <w:rFonts w:ascii="仿宋" w:hAnsi="仿宋" w:eastAsia="仿宋" w:cs="仿宋"/>
          <w:lang w:val="en-US"/>
        </w:rPr>
        <w:t>e</w:t>
      </w:r>
      <w:r>
        <w:rPr>
          <w:rStyle w:val="19"/>
          <w:rFonts w:ascii="仿宋" w:hAnsi="仿宋" w:eastAsia="仿宋" w:cs="仿宋"/>
          <w:lang w:val="zh-TW" w:eastAsia="zh-TW"/>
        </w:rPr>
        <w:t>光伏发电系统过电压保护</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4</w:t>
      </w:r>
      <w:r>
        <w:rPr>
          <w:rStyle w:val="19"/>
          <w:rFonts w:ascii="仿宋" w:hAnsi="仿宋" w:eastAsia="仿宋" w:cs="仿宋"/>
          <w:lang w:val="zh-TW" w:eastAsia="zh-TW"/>
        </w:rPr>
        <w:t>）IEC61194 Characteristic parameters of stand-alone photovoltaic（PV）systems 独立光伏系统的特性参数</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5</w:t>
      </w:r>
      <w:r>
        <w:rPr>
          <w:rStyle w:val="19"/>
          <w:rFonts w:ascii="仿宋" w:hAnsi="仿宋" w:eastAsia="仿宋" w:cs="仿宋"/>
          <w:lang w:val="zh-TW" w:eastAsia="zh-TW"/>
        </w:rPr>
        <w:t>）IEC 61400-13  Measurement of Mechanical Loads机械载荷测试</w:t>
      </w:r>
    </w:p>
    <w:p>
      <w:pPr>
        <w:framePr w:w="0" w:wrap="auto" w:vAnchor="margin" w:hAnchor="text" w:yAlign="inline"/>
        <w:spacing w:line="500" w:lineRule="exact"/>
        <w:ind w:firstLine="560"/>
        <w:jc w:val="left"/>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6</w:t>
      </w:r>
      <w:r>
        <w:rPr>
          <w:rStyle w:val="19"/>
          <w:rFonts w:ascii="仿宋" w:hAnsi="仿宋" w:eastAsia="仿宋" w:cs="仿宋"/>
          <w:lang w:val="zh-TW" w:eastAsia="zh-TW"/>
        </w:rPr>
        <w:t>）IEC 61400-12  Wind Turbine Power Performance Measurement 　Techniques风力发电机功率特性试验</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7</w:t>
      </w:r>
      <w:r>
        <w:rPr>
          <w:rStyle w:val="19"/>
          <w:rFonts w:ascii="仿宋" w:hAnsi="仿宋" w:eastAsia="仿宋" w:cs="仿宋"/>
          <w:lang w:val="zh-TW" w:eastAsia="zh-TW"/>
        </w:rPr>
        <w:t>）IEC 61400-2 Safety Requirements for Small Wind Turbine Generators小型风力发电机的安全</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8</w:t>
      </w:r>
      <w:r>
        <w:rPr>
          <w:rStyle w:val="19"/>
          <w:rFonts w:ascii="仿宋" w:hAnsi="仿宋" w:eastAsia="仿宋" w:cs="仿宋"/>
          <w:lang w:val="zh-TW" w:eastAsia="zh-TW"/>
        </w:rPr>
        <w:t>）ASTM E 1240-88 Standard Test Method for Performance Testing of Wind Energy Conversion System风能转换系统性能的测试方法</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9</w:t>
      </w:r>
      <w:r>
        <w:rPr>
          <w:rStyle w:val="19"/>
          <w:rFonts w:ascii="仿宋" w:hAnsi="仿宋" w:eastAsia="仿宋" w:cs="仿宋"/>
          <w:lang w:val="zh-TW" w:eastAsia="zh-TW"/>
        </w:rPr>
        <w:t>）ASME/ANSI PTC 42-1988 Wind Turbine Performance Test Codes 风力机性能试验规程</w:t>
      </w:r>
    </w:p>
    <w:p>
      <w:pPr>
        <w:framePr w:w="0" w:wrap="auto" w:vAnchor="margin" w:hAnchor="text" w:yAlign="inline"/>
        <w:spacing w:line="500" w:lineRule="exact"/>
        <w:ind w:firstLine="560"/>
        <w:rPr>
          <w:rStyle w:val="19"/>
          <w:rFonts w:ascii="仿宋" w:hAnsi="仿宋" w:eastAsia="仿宋" w:cs="仿宋"/>
        </w:rPr>
      </w:pPr>
      <w:r>
        <w:rPr>
          <w:rStyle w:val="19"/>
          <w:rFonts w:hint="eastAsia" w:ascii="仿宋" w:hAnsi="仿宋" w:eastAsia="仿宋" w:cs="仿宋"/>
          <w:lang w:val="en-US" w:eastAsia="zh-CN"/>
        </w:rPr>
        <w:t>(10)</w:t>
      </w:r>
      <w:r>
        <w:rPr>
          <w:rStyle w:val="19"/>
          <w:rFonts w:ascii="仿宋" w:hAnsi="仿宋" w:eastAsia="仿宋" w:cs="仿宋"/>
          <w:lang w:val="zh-TW" w:eastAsia="zh-TW"/>
        </w:rPr>
        <w:t>ANSI/IEEE 1021-1988 Recommended Practice for Utility Interconnection of Small Wind Energy Conversion System小型风能转换系统与公用电网互联的推荐规范</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11</w:t>
      </w:r>
      <w:r>
        <w:rPr>
          <w:rStyle w:val="19"/>
          <w:rFonts w:ascii="仿宋" w:hAnsi="仿宋" w:eastAsia="仿宋" w:cs="仿宋"/>
          <w:lang w:val="zh-TW" w:eastAsia="zh-TW"/>
        </w:rPr>
        <w:t>）ASTM E 1240-88 Standard Test Method for Performance Testing of Wind Energy Conversion System 风能转换系统性能的测试方法</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12</w:t>
      </w:r>
      <w:r>
        <w:rPr>
          <w:rStyle w:val="19"/>
          <w:rFonts w:ascii="仿宋" w:hAnsi="仿宋" w:eastAsia="仿宋" w:cs="仿宋"/>
          <w:lang w:val="zh-TW" w:eastAsia="zh-TW"/>
        </w:rPr>
        <w:t>）IEC61000-4-3 Electromagnetic compatibility (EMC) - Part 4-3电磁兼容性(EMC)</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w:t>
      </w:r>
      <w:r>
        <w:rPr>
          <w:rStyle w:val="22"/>
          <w:rFonts w:ascii="仿宋" w:hAnsi="仿宋" w:eastAsia="仿宋" w:cs="仿宋"/>
          <w:lang w:val="en-US"/>
        </w:rPr>
        <w:t>13</w:t>
      </w:r>
      <w:r>
        <w:rPr>
          <w:rStyle w:val="19"/>
          <w:rFonts w:ascii="仿宋" w:hAnsi="仿宋" w:eastAsia="仿宋" w:cs="仿宋"/>
          <w:lang w:val="zh-TW" w:eastAsia="zh-TW"/>
        </w:rPr>
        <w:t>）</w:t>
      </w:r>
      <w:r>
        <w:rPr>
          <w:rStyle w:val="22"/>
          <w:rFonts w:ascii="仿宋" w:hAnsi="仿宋" w:eastAsia="仿宋" w:cs="仿宋"/>
          <w:lang w:val="en-US"/>
        </w:rPr>
        <w:t xml:space="preserve">IEC61082/GB/T 6988.1-2008 </w:t>
      </w:r>
      <w:r>
        <w:rPr>
          <w:rStyle w:val="19"/>
          <w:rFonts w:ascii="仿宋" w:hAnsi="仿宋" w:eastAsia="仿宋" w:cs="仿宋"/>
          <w:lang w:val="zh-TW" w:eastAsia="zh-TW"/>
        </w:rPr>
        <w:t>《电气技术用文件的编制》</w:t>
      </w:r>
      <w:bookmarkEnd w:id="79"/>
    </w:p>
    <w:p>
      <w:pPr>
        <w:pStyle w:val="2"/>
        <w:framePr w:w="0" w:wrap="auto" w:vAnchor="margin" w:hAnchor="text" w:yAlign="inline"/>
        <w:numPr>
          <w:ilvl w:val="0"/>
          <w:numId w:val="0"/>
        </w:numPr>
        <w:bidi w:val="0"/>
        <w:ind w:leftChars="0" w:right="0" w:rightChars="0"/>
        <w:jc w:val="both"/>
        <w:rPr>
          <w:rStyle w:val="15"/>
          <w:rFonts w:ascii="仿宋" w:hAnsi="仿宋" w:eastAsia="仿宋" w:cs="仿宋"/>
          <w:lang w:val="zh-TW" w:eastAsia="zh-TW"/>
        </w:rPr>
      </w:pPr>
      <w:bookmarkStart w:id="80" w:name="_Toc8340"/>
      <w:bookmarkStart w:id="81" w:name="_Toc36"/>
      <w:r>
        <w:rPr>
          <w:rStyle w:val="15"/>
          <w:rFonts w:hint="eastAsia" w:ascii="仿宋" w:hAnsi="仿宋" w:eastAsia="仿宋" w:cs="仿宋"/>
          <w:lang w:val="zh-TW" w:eastAsia="zh-CN"/>
        </w:rPr>
        <w:t>十</w:t>
      </w:r>
      <w:r>
        <w:rPr>
          <w:rStyle w:val="29"/>
          <w:rFonts w:hint="eastAsia"/>
          <w:b/>
          <w:bCs/>
          <w:lang w:val="zh-TW" w:eastAsia="zh-CN"/>
        </w:rPr>
        <w:t>三、</w:t>
      </w:r>
      <w:r>
        <w:rPr>
          <w:rStyle w:val="29"/>
          <w:b/>
          <w:bCs/>
          <w:lang w:val="zh-TW" w:eastAsia="zh-TW"/>
        </w:rPr>
        <w:t>建议使用的比赛器材、技术平台和场地要求</w:t>
      </w:r>
      <w:bookmarkEnd w:id="80"/>
      <w:bookmarkEnd w:id="81"/>
    </w:p>
    <w:p>
      <w:pPr>
        <w:pStyle w:val="3"/>
        <w:framePr w:w="0" w:wrap="auto" w:vAnchor="margin" w:hAnchor="text" w:yAlign="inline"/>
        <w:rPr>
          <w:rStyle w:val="19"/>
          <w:rFonts w:ascii="仿宋" w:hAnsi="仿宋" w:eastAsia="仿宋" w:cs="仿宋"/>
          <w:sz w:val="28"/>
          <w:szCs w:val="28"/>
          <w:lang w:val="zh-TW" w:eastAsia="zh-TW"/>
        </w:rPr>
      </w:pPr>
      <w:bookmarkStart w:id="82" w:name="_Toc37"/>
      <w:bookmarkStart w:id="83" w:name="_Toc3375"/>
      <w:r>
        <w:rPr>
          <w:rStyle w:val="19"/>
          <w:rFonts w:ascii="仿宋" w:hAnsi="仿宋" w:eastAsia="仿宋" w:cs="仿宋"/>
          <w:sz w:val="28"/>
          <w:szCs w:val="28"/>
          <w:lang w:val="zh-TW" w:eastAsia="zh-TW"/>
        </w:rPr>
        <w:t>（</w:t>
      </w:r>
      <w:r>
        <w:rPr>
          <w:rStyle w:val="27"/>
          <w:b/>
          <w:bCs/>
          <w:lang w:val="zh-TW" w:eastAsia="zh-TW"/>
        </w:rPr>
        <w:t>一）建议比赛器材</w:t>
      </w:r>
      <w:bookmarkEnd w:id="82"/>
      <w:bookmarkEnd w:id="83"/>
    </w:p>
    <w:p>
      <w:pPr>
        <w:framePr w:w="0" w:wrap="auto" w:vAnchor="margin" w:hAnchor="text" w:yAlign="inline"/>
        <w:spacing w:line="500" w:lineRule="exact"/>
        <w:ind w:firstLine="560"/>
        <w:rPr>
          <w:rStyle w:val="19"/>
          <w:rFonts w:ascii="仿宋" w:hAnsi="仿宋" w:eastAsia="仿宋" w:cs="仿宋"/>
        </w:rPr>
      </w:pPr>
      <w:bookmarkStart w:id="84" w:name="OLE_LINK16"/>
      <w:r>
        <w:rPr>
          <w:rStyle w:val="19"/>
          <w:rFonts w:ascii="仿宋" w:hAnsi="仿宋" w:eastAsia="仿宋" w:cs="仿宋"/>
          <w:lang w:val="zh-TW" w:eastAsia="zh-TW"/>
        </w:rPr>
        <w:t>本次赛项建议使用器材为</w:t>
      </w:r>
      <w:r>
        <w:rPr>
          <w:rStyle w:val="22"/>
          <w:rFonts w:ascii="仿宋" w:hAnsi="仿宋" w:eastAsia="仿宋" w:cs="仿宋"/>
          <w:lang w:val="en-US"/>
        </w:rPr>
        <w:t>Rhea Vulcan</w:t>
      </w:r>
      <w:r>
        <w:rPr>
          <w:rStyle w:val="19"/>
          <w:rFonts w:ascii="仿宋" w:hAnsi="仿宋" w:eastAsia="仿宋" w:cs="仿宋"/>
          <w:lang w:val="zh-TW" w:eastAsia="zh-TW"/>
        </w:rPr>
        <w:t>智慧新能源实训系统</w:t>
      </w:r>
      <w:r>
        <w:rPr>
          <w:rStyle w:val="22"/>
          <w:rFonts w:ascii="仿宋" w:hAnsi="仿宋" w:eastAsia="仿宋" w:cs="仿宋"/>
          <w:lang w:val="en-US"/>
        </w:rPr>
        <w:t>(Vulcan.sw)</w:t>
      </w:r>
      <w:r>
        <w:rPr>
          <w:rStyle w:val="19"/>
          <w:rFonts w:ascii="仿宋" w:hAnsi="仿宋" w:eastAsia="仿宋" w:cs="仿宋"/>
          <w:lang w:val="zh-TW" w:eastAsia="zh-TW"/>
        </w:rPr>
        <w:t>。</w:t>
      </w:r>
    </w:p>
    <w:p>
      <w:pPr>
        <w:framePr w:w="0" w:wrap="auto" w:vAnchor="margin" w:hAnchor="text" w:yAlign="inline"/>
        <w:spacing w:line="500" w:lineRule="exact"/>
        <w:ind w:firstLine="560"/>
        <w:rPr>
          <w:rStyle w:val="19"/>
          <w:rFonts w:ascii="仿宋" w:hAnsi="仿宋" w:eastAsia="仿宋" w:cs="仿宋"/>
        </w:rPr>
      </w:pPr>
      <w:r>
        <w:rPr>
          <w:rStyle w:val="22"/>
          <w:rFonts w:ascii="仿宋" w:hAnsi="仿宋" w:eastAsia="仿宋" w:cs="仿宋"/>
          <w:lang w:val="en-US"/>
        </w:rPr>
        <w:t>Rhea Vulcan</w:t>
      </w:r>
      <w:r>
        <w:rPr>
          <w:rStyle w:val="19"/>
          <w:rFonts w:ascii="仿宋" w:hAnsi="仿宋" w:eastAsia="仿宋" w:cs="仿宋"/>
          <w:lang w:val="zh-TW" w:eastAsia="zh-TW"/>
        </w:rPr>
        <w:t>智慧新能源实训系统</w:t>
      </w:r>
      <w:r>
        <w:rPr>
          <w:rStyle w:val="22"/>
          <w:rFonts w:ascii="仿宋" w:hAnsi="仿宋" w:eastAsia="仿宋" w:cs="仿宋"/>
          <w:lang w:val="en-US"/>
        </w:rPr>
        <w:t>(Vulcan.sw)</w:t>
      </w:r>
      <w:r>
        <w:rPr>
          <w:rStyle w:val="19"/>
          <w:rFonts w:ascii="仿宋" w:hAnsi="仿宋" w:eastAsia="仿宋" w:cs="仿宋"/>
          <w:lang w:val="zh-TW" w:eastAsia="zh-TW"/>
        </w:rPr>
        <w:t>以契合目前光伏工程、分布式能源、新能源电子、智能微电网等新能源产业典型岗位用人需求的设计思路，基于对光伏工程、分布式能源工程的实现原理、性能特性的深刻研究，整合光伏工程技术、分布式能源发电技术、传感技术、信息通信技术、自动控制技术和供配电技术高度集成而成的具有学科递进式智慧新能源应用仿真模拟实训平台。</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系统整体设计源于国际新能源成熟应用系统，同时采用大量高精度工业级电子器件，可实现光伏工程设计实施部署、光伏工程运维、光伏工程应用系统开发，微电网动态模型仿真实验、微网运行设备特性、分布式能源并网的电能质量、微网内分布式电源和各种负荷协调优化控制，以及新能源电子产品创意设计等教学实训。</w:t>
      </w:r>
    </w:p>
    <w:p>
      <w:pPr>
        <w:framePr w:w="0" w:wrap="auto" w:vAnchor="margin" w:hAnchor="text" w:yAlign="inline"/>
        <w:spacing w:line="500" w:lineRule="exact"/>
        <w:ind w:firstLine="560"/>
        <w:rPr>
          <w:rStyle w:val="19"/>
          <w:rFonts w:ascii="仿宋" w:hAnsi="仿宋" w:eastAsia="仿宋" w:cs="仿宋"/>
        </w:rPr>
      </w:pPr>
      <w:r>
        <w:rPr>
          <w:rStyle w:val="22"/>
          <w:rFonts w:ascii="仿宋" w:hAnsi="仿宋" w:eastAsia="仿宋" w:cs="仿宋"/>
          <w:lang w:val="en-US"/>
        </w:rPr>
        <w:t>Vulcan.sw</w:t>
      </w:r>
      <w:r>
        <w:rPr>
          <w:rStyle w:val="19"/>
          <w:rFonts w:ascii="仿宋" w:hAnsi="仿宋" w:eastAsia="仿宋" w:cs="仿宋"/>
          <w:lang w:val="zh-TW" w:eastAsia="zh-TW"/>
        </w:rPr>
        <w:t>采用模块化积木式设计理念，可根据专业设置、课程设置情况自由组合，或延展所需平台模块，同时根据专业方向配有系统的课程体系设计建议及相应丰富的项目教学、实训资源，可满足光伏工程技术、新能源电子技术、分布式发电与微电网技术、光伏发电技术与应用、新能源装备技术、应用电子技术、自动化控制等专业课程开发需求。是首个民生高度关注</w:t>
      </w:r>
      <w:r>
        <w:rPr>
          <w:rStyle w:val="22"/>
          <w:rFonts w:ascii="仿宋" w:hAnsi="仿宋" w:eastAsia="仿宋" w:cs="仿宋"/>
          <w:lang w:val="en-US"/>
        </w:rPr>
        <w:t>“</w:t>
      </w:r>
      <w:r>
        <w:rPr>
          <w:rStyle w:val="19"/>
          <w:rFonts w:ascii="仿宋" w:hAnsi="仿宋" w:eastAsia="仿宋" w:cs="仿宋"/>
          <w:lang w:val="zh-TW" w:eastAsia="zh-TW"/>
        </w:rPr>
        <w:t>能源</w:t>
      </w:r>
      <w:r>
        <w:rPr>
          <w:rStyle w:val="22"/>
          <w:rFonts w:ascii="仿宋" w:hAnsi="仿宋" w:eastAsia="仿宋" w:cs="仿宋"/>
          <w:lang w:val="en-US"/>
        </w:rPr>
        <w:t>-</w:t>
      </w:r>
      <w:r>
        <w:rPr>
          <w:rStyle w:val="19"/>
          <w:rFonts w:ascii="仿宋" w:hAnsi="仿宋" w:eastAsia="仿宋" w:cs="仿宋"/>
          <w:lang w:val="zh-TW" w:eastAsia="zh-TW"/>
        </w:rPr>
        <w:t>经济</w:t>
      </w:r>
      <w:r>
        <w:rPr>
          <w:rStyle w:val="22"/>
          <w:rFonts w:ascii="仿宋" w:hAnsi="仿宋" w:eastAsia="仿宋" w:cs="仿宋"/>
          <w:lang w:val="en-US"/>
        </w:rPr>
        <w:t>-</w:t>
      </w:r>
      <w:r>
        <w:rPr>
          <w:rStyle w:val="19"/>
          <w:rFonts w:ascii="仿宋" w:hAnsi="仿宋" w:eastAsia="仿宋" w:cs="仿宋"/>
          <w:lang w:val="zh-TW" w:eastAsia="zh-TW"/>
        </w:rPr>
        <w:t>安全</w:t>
      </w:r>
      <w:r>
        <w:rPr>
          <w:rStyle w:val="22"/>
          <w:rFonts w:ascii="仿宋" w:hAnsi="仿宋" w:eastAsia="仿宋" w:cs="仿宋"/>
          <w:lang w:val="en-US"/>
        </w:rPr>
        <w:t>-</w:t>
      </w:r>
      <w:r>
        <w:rPr>
          <w:rStyle w:val="19"/>
          <w:rFonts w:ascii="仿宋" w:hAnsi="仿宋" w:eastAsia="仿宋" w:cs="仿宋"/>
          <w:lang w:val="zh-TW" w:eastAsia="zh-TW"/>
        </w:rPr>
        <w:t>环境</w:t>
      </w:r>
      <w:r>
        <w:rPr>
          <w:rStyle w:val="22"/>
          <w:rFonts w:ascii="仿宋" w:hAnsi="仿宋" w:eastAsia="仿宋" w:cs="仿宋"/>
          <w:lang w:val="en-US"/>
        </w:rPr>
        <w:t>-</w:t>
      </w:r>
      <w:r>
        <w:rPr>
          <w:rStyle w:val="19"/>
          <w:rFonts w:ascii="仿宋" w:hAnsi="仿宋" w:eastAsia="仿宋" w:cs="仿宋"/>
          <w:lang w:val="zh-TW" w:eastAsia="zh-TW"/>
        </w:rPr>
        <w:t>气候</w:t>
      </w:r>
      <w:r>
        <w:rPr>
          <w:rStyle w:val="22"/>
          <w:rFonts w:ascii="仿宋" w:hAnsi="仿宋" w:eastAsia="仿宋" w:cs="仿宋"/>
          <w:lang w:val="en-US"/>
        </w:rPr>
        <w:t>”</w:t>
      </w:r>
      <w:r>
        <w:rPr>
          <w:rStyle w:val="19"/>
          <w:rFonts w:ascii="仿宋" w:hAnsi="仿宋" w:eastAsia="仿宋" w:cs="仿宋"/>
          <w:lang w:val="zh-TW" w:eastAsia="zh-TW"/>
        </w:rPr>
        <w:t>新能源教学实训系统。</w:t>
      </w:r>
      <w:bookmarkEnd w:id="84"/>
    </w:p>
    <w:p>
      <w:pPr>
        <w:pStyle w:val="4"/>
        <w:framePr w:w="0" w:wrap="auto" w:vAnchor="margin" w:hAnchor="text" w:yAlign="inline"/>
        <w:rPr>
          <w:rStyle w:val="19"/>
          <w:rFonts w:ascii="仿宋" w:hAnsi="仿宋" w:eastAsia="仿宋" w:cs="仿宋"/>
          <w:sz w:val="28"/>
          <w:szCs w:val="28"/>
        </w:rPr>
      </w:pPr>
      <w:bookmarkStart w:id="85" w:name="_Toc31103"/>
      <w:bookmarkStart w:id="86" w:name="_Toc38"/>
      <w:r>
        <w:rPr>
          <w:rStyle w:val="19"/>
          <w:rFonts w:ascii="仿宋" w:hAnsi="仿宋" w:eastAsia="仿宋" w:cs="仿宋"/>
          <w:sz w:val="28"/>
          <w:szCs w:val="28"/>
          <w:lang w:val="en-US"/>
        </w:rPr>
        <w:t>1</w:t>
      </w:r>
      <w:r>
        <w:rPr>
          <w:rStyle w:val="28"/>
          <w:b/>
          <w:bCs/>
          <w:lang w:val="en-US"/>
        </w:rPr>
        <w:t>.</w:t>
      </w:r>
      <w:r>
        <w:rPr>
          <w:rStyle w:val="28"/>
          <w:b/>
          <w:bCs/>
          <w:lang w:val="zh-TW" w:eastAsia="zh-TW"/>
        </w:rPr>
        <w:t>系统组成</w:t>
      </w:r>
      <w:bookmarkEnd w:id="85"/>
      <w:bookmarkEnd w:id="86"/>
    </w:p>
    <w:p>
      <w:pPr>
        <w:framePr w:w="0" w:wrap="auto" w:vAnchor="margin" w:hAnchor="text" w:yAlign="inline"/>
        <w:spacing w:line="500" w:lineRule="exact"/>
        <w:ind w:firstLine="560"/>
        <w:rPr>
          <w:rStyle w:val="19"/>
          <w:rFonts w:ascii="仿宋" w:hAnsi="仿宋" w:eastAsia="仿宋" w:cs="仿宋"/>
        </w:rPr>
      </w:pPr>
      <w:r>
        <w:rPr>
          <w:rStyle w:val="22"/>
          <w:rFonts w:ascii="仿宋" w:hAnsi="仿宋" w:eastAsia="仿宋" w:cs="仿宋"/>
          <w:lang w:val="en-US"/>
        </w:rPr>
        <w:t xml:space="preserve">Vulcan.sw </w:t>
      </w:r>
      <w:r>
        <w:rPr>
          <w:rStyle w:val="19"/>
          <w:rFonts w:ascii="仿宋" w:hAnsi="仿宋" w:eastAsia="仿宋" w:cs="仿宋"/>
          <w:lang w:val="zh-TW" w:eastAsia="zh-TW"/>
        </w:rPr>
        <w:t>智慧新能源实训主体设备由工程环境模拟平台、光伏电子中心管控平台、能源互联网仿真规划平台三个核心应用平台，以及光伏电子中心管控软件、能源互联网仿真规划软件两大管理软件构成。</w:t>
      </w:r>
    </w:p>
    <w:p>
      <w:pPr>
        <w:framePr w:w="0" w:wrap="auto" w:vAnchor="margin" w:hAnchor="text" w:yAlign="inline"/>
        <w:spacing w:line="520" w:lineRule="exact"/>
        <w:jc w:val="left"/>
        <w:rPr>
          <w:rStyle w:val="19"/>
          <w:rFonts w:ascii="仿宋" w:hAnsi="仿宋" w:eastAsia="仿宋" w:cs="仿宋"/>
          <w:b/>
          <w:bCs/>
          <w:kern w:val="0"/>
        </w:rPr>
      </w:pPr>
      <w:r>
        <w:rPr>
          <w:rStyle w:val="19"/>
          <w:rFonts w:ascii="仿宋" w:hAnsi="仿宋" w:eastAsia="仿宋" w:cs="仿宋"/>
          <w:b/>
          <w:bCs/>
          <w:kern w:val="0"/>
          <w:lang w:val="en-US"/>
        </w:rPr>
        <w:t xml:space="preserve">    </w:t>
      </w:r>
      <w:r>
        <w:rPr>
          <w:rStyle w:val="19"/>
          <w:rFonts w:ascii="仿宋" w:hAnsi="仿宋" w:eastAsia="仿宋" w:cs="仿宋"/>
          <w:b/>
          <w:bCs/>
          <w:kern w:val="0"/>
          <w:lang w:val="zh-TW" w:eastAsia="zh-TW"/>
        </w:rPr>
        <w:t>工程环境模拟平台</w:t>
      </w:r>
    </w:p>
    <w:p>
      <w:pPr>
        <w:framePr w:w="0" w:wrap="auto" w:vAnchor="margin" w:hAnchor="text" w:yAlign="inline"/>
        <w:spacing w:line="500" w:lineRule="exact"/>
        <w:ind w:firstLine="560"/>
        <w:jc w:val="left"/>
        <w:rPr>
          <w:rStyle w:val="19"/>
          <w:rFonts w:ascii="仿宋" w:hAnsi="仿宋" w:eastAsia="仿宋" w:cs="仿宋"/>
          <w:kern w:val="0"/>
        </w:rPr>
      </w:pPr>
      <w:r>
        <w:rPr>
          <w:rStyle w:val="19"/>
          <w:rFonts w:ascii="仿宋" w:hAnsi="仿宋" w:eastAsia="仿宋" w:cs="仿宋"/>
          <w:kern w:val="0"/>
          <w:lang w:val="zh-TW" w:eastAsia="zh-TW"/>
        </w:rPr>
        <w:t>工程环境模拟平台作为智慧新能源实训平台的多种能源发电模拟平台</w:t>
      </w:r>
      <w:r>
        <w:rPr>
          <w:rStyle w:val="19"/>
          <w:rFonts w:ascii="仿宋" w:hAnsi="仿宋" w:eastAsia="仿宋" w:cs="仿宋"/>
          <w:kern w:val="0"/>
          <w:lang w:val="en-US"/>
        </w:rPr>
        <w:t>,</w:t>
      </w:r>
      <w:r>
        <w:rPr>
          <w:rStyle w:val="19"/>
          <w:rFonts w:ascii="仿宋" w:hAnsi="仿宋" w:eastAsia="仿宋" w:cs="仿宋"/>
          <w:kern w:val="0"/>
          <w:lang w:val="zh-TW" w:eastAsia="zh-TW"/>
        </w:rPr>
        <w:t>是国内首创具有自主知识产权的，可全面呈现并整合多种能源部署环境的可自由组合型模拟平台。平台由屋面光伏组件模块、地面电站光伏组件模块、太阳轨道模拟模块、光伏逐日模块，环境显控模块等组成，所有元器件安装在预留数控冲铣网孔支撑屏架上，可满足多场景智慧新能源环境的教学展现，及各种新能源发电系统的安装、调试、实训。</w:t>
      </w:r>
    </w:p>
    <w:p>
      <w:pPr>
        <w:framePr w:w="0" w:wrap="auto" w:vAnchor="margin" w:hAnchor="text" w:yAlign="inline"/>
        <w:spacing w:line="520" w:lineRule="exact"/>
        <w:jc w:val="left"/>
        <w:rPr>
          <w:rStyle w:val="19"/>
          <w:rFonts w:ascii="仿宋" w:hAnsi="仿宋" w:eastAsia="仿宋" w:cs="仿宋"/>
          <w:b/>
          <w:bCs/>
          <w:kern w:val="0"/>
        </w:rPr>
      </w:pPr>
      <w:r>
        <w:rPr>
          <w:rStyle w:val="19"/>
          <w:rFonts w:ascii="仿宋" w:hAnsi="仿宋" w:eastAsia="仿宋" w:cs="仿宋"/>
          <w:b/>
          <w:bCs/>
          <w:kern w:val="0"/>
          <w:lang w:val="en-US"/>
        </w:rPr>
        <w:t xml:space="preserve">    </w:t>
      </w:r>
      <w:r>
        <w:rPr>
          <w:rStyle w:val="19"/>
          <w:rFonts w:ascii="仿宋" w:hAnsi="仿宋" w:eastAsia="仿宋" w:cs="仿宋"/>
          <w:b/>
          <w:bCs/>
          <w:kern w:val="0"/>
          <w:lang w:val="zh-TW" w:eastAsia="zh-TW"/>
        </w:rPr>
        <w:t>光伏电子中心管控平台</w:t>
      </w:r>
    </w:p>
    <w:p>
      <w:pPr>
        <w:framePr w:w="0" w:wrap="auto" w:vAnchor="margin" w:hAnchor="text" w:yAlign="inline"/>
        <w:spacing w:line="500" w:lineRule="exact"/>
        <w:jc w:val="left"/>
        <w:rPr>
          <w:rStyle w:val="19"/>
          <w:rFonts w:ascii="仿宋" w:hAnsi="仿宋" w:eastAsia="仿宋" w:cs="仿宋"/>
          <w:kern w:val="0"/>
        </w:rPr>
      </w:pPr>
      <w:r>
        <w:rPr>
          <w:rStyle w:val="19"/>
          <w:rFonts w:ascii="仿宋" w:hAnsi="仿宋" w:eastAsia="仿宋" w:cs="仿宋"/>
          <w:kern w:val="0"/>
          <w:lang w:val="en-US"/>
        </w:rPr>
        <w:t xml:space="preserve">    </w:t>
      </w:r>
      <w:r>
        <w:rPr>
          <w:rStyle w:val="19"/>
          <w:rFonts w:ascii="仿宋" w:hAnsi="仿宋" w:eastAsia="仿宋" w:cs="仿宋"/>
          <w:kern w:val="0"/>
          <w:lang w:val="zh-TW" w:eastAsia="zh-TW"/>
        </w:rPr>
        <w:t>光伏电子中心管控平台作为的中枢管理平台，是以符合人体工学的钢结构和铝合金型材为基础材料的柔性工位为载体，以数据采集、集中控制、能源负载、人机界面等组件为实现环境，通过各类高精度工业级元器件部署而成的具有光伏发电控制、能源转化储存、电能控制调度、双向存储逆变、多负载显示等功能智能控制平台。</w:t>
      </w:r>
    </w:p>
    <w:p>
      <w:pPr>
        <w:framePr w:w="0" w:wrap="auto" w:vAnchor="margin" w:hAnchor="text" w:yAlign="inline"/>
        <w:spacing w:line="520" w:lineRule="exact"/>
        <w:jc w:val="left"/>
        <w:rPr>
          <w:rStyle w:val="19"/>
          <w:rFonts w:ascii="仿宋" w:hAnsi="仿宋" w:eastAsia="仿宋" w:cs="仿宋"/>
          <w:b/>
          <w:bCs/>
          <w:kern w:val="0"/>
        </w:rPr>
      </w:pPr>
      <w:r>
        <w:rPr>
          <w:rStyle w:val="19"/>
          <w:rFonts w:ascii="仿宋" w:hAnsi="仿宋" w:eastAsia="仿宋" w:cs="仿宋"/>
          <w:b/>
          <w:bCs/>
          <w:kern w:val="0"/>
          <w:lang w:val="en-US"/>
        </w:rPr>
        <w:t xml:space="preserve">    </w:t>
      </w:r>
      <w:r>
        <w:rPr>
          <w:rStyle w:val="19"/>
          <w:rFonts w:ascii="仿宋" w:hAnsi="仿宋" w:eastAsia="仿宋" w:cs="仿宋"/>
          <w:b/>
          <w:bCs/>
          <w:kern w:val="0"/>
          <w:lang w:val="zh-TW" w:eastAsia="zh-TW"/>
        </w:rPr>
        <w:t>能源互联网仿真规划平台</w:t>
      </w:r>
    </w:p>
    <w:p>
      <w:pPr>
        <w:framePr w:w="0" w:wrap="auto" w:vAnchor="margin" w:hAnchor="text" w:yAlign="inline"/>
        <w:spacing w:line="500" w:lineRule="exact"/>
        <w:jc w:val="left"/>
        <w:rPr>
          <w:rStyle w:val="19"/>
          <w:rFonts w:ascii="仿宋" w:hAnsi="仿宋" w:eastAsia="仿宋" w:cs="仿宋"/>
          <w:kern w:val="0"/>
        </w:rPr>
      </w:pPr>
      <w:r>
        <w:rPr>
          <w:rStyle w:val="19"/>
          <w:rFonts w:ascii="仿宋" w:hAnsi="仿宋" w:eastAsia="仿宋" w:cs="仿宋"/>
          <w:kern w:val="0"/>
          <w:lang w:val="en-US"/>
        </w:rPr>
        <w:t xml:space="preserve">    </w:t>
      </w:r>
      <w:r>
        <w:rPr>
          <w:rStyle w:val="19"/>
          <w:rFonts w:ascii="仿宋" w:hAnsi="仿宋" w:eastAsia="仿宋" w:cs="仿宋"/>
          <w:kern w:val="0"/>
          <w:lang w:val="zh-TW" w:eastAsia="zh-TW"/>
        </w:rPr>
        <w:t>能源互联网仿真规划平台</w:t>
      </w:r>
      <w:r>
        <w:rPr>
          <w:rStyle w:val="19"/>
          <w:rFonts w:ascii="仿宋" w:hAnsi="仿宋" w:eastAsia="仿宋" w:cs="仿宋"/>
          <w:color w:val="00000A"/>
          <w:kern w:val="0"/>
          <w:u w:color="00000A"/>
          <w:lang w:val="zh-TW" w:eastAsia="zh-TW"/>
        </w:rPr>
        <w:t>设计源自于国际成熟的能源智能规划系统，</w:t>
      </w:r>
      <w:r>
        <w:rPr>
          <w:rStyle w:val="19"/>
          <w:rFonts w:ascii="仿宋" w:hAnsi="仿宋" w:eastAsia="仿宋" w:cs="仿宋"/>
          <w:kern w:val="0"/>
          <w:lang w:val="zh-TW" w:eastAsia="zh-TW"/>
        </w:rPr>
        <w:t>以三维全景交互式仿真沙盘为实训载体，融合仿真建模、空间数据处理、信息通信、分布计算及显示控制领域的核心技术，模拟再现多元化的能源供需网络系统情景。实训者可以根据区域整体环境状况，根据对于多种能源的不同需求，规划设计匹配的能源系统，对其进行协同优化，通过工程环境模拟平台上产生的数据，转换至中心平台上的能源参数，模拟能源供需系统衔接、运维，实现在模拟燃气管网、低压电网、热力管网和冷源管网上的最佳协作，以能源利用效率最大化和能效的最优化作为综合实训评估依据之一。</w:t>
      </w:r>
    </w:p>
    <w:p>
      <w:pPr>
        <w:framePr w:w="0" w:wrap="auto" w:vAnchor="margin" w:hAnchor="text" w:yAlign="inline"/>
        <w:spacing w:line="520" w:lineRule="exact"/>
        <w:jc w:val="left"/>
        <w:rPr>
          <w:rStyle w:val="19"/>
          <w:rFonts w:ascii="仿宋" w:hAnsi="仿宋" w:eastAsia="仿宋" w:cs="仿宋"/>
          <w:b/>
          <w:bCs/>
          <w:kern w:val="0"/>
        </w:rPr>
      </w:pPr>
      <w:r>
        <w:rPr>
          <w:rStyle w:val="19"/>
          <w:rFonts w:ascii="仿宋" w:hAnsi="仿宋" w:eastAsia="仿宋" w:cs="仿宋"/>
          <w:b/>
          <w:bCs/>
          <w:kern w:val="0"/>
          <w:lang w:val="en-US"/>
        </w:rPr>
        <w:t xml:space="preserve">    </w:t>
      </w:r>
      <w:r>
        <w:rPr>
          <w:rStyle w:val="19"/>
          <w:rFonts w:ascii="仿宋" w:hAnsi="仿宋" w:eastAsia="仿宋" w:cs="仿宋"/>
          <w:b/>
          <w:bCs/>
          <w:kern w:val="0"/>
          <w:lang w:val="zh-TW" w:eastAsia="zh-TW"/>
        </w:rPr>
        <w:t>光伏电子中心管控软件</w:t>
      </w:r>
    </w:p>
    <w:p>
      <w:pPr>
        <w:framePr w:w="0" w:wrap="auto" w:vAnchor="margin" w:hAnchor="text" w:yAlign="inline"/>
        <w:spacing w:line="500" w:lineRule="exact"/>
        <w:jc w:val="left"/>
        <w:rPr>
          <w:rStyle w:val="19"/>
          <w:rFonts w:ascii="仿宋" w:hAnsi="仿宋" w:eastAsia="仿宋" w:cs="仿宋"/>
          <w:kern w:val="0"/>
        </w:rPr>
      </w:pPr>
      <w:r>
        <w:rPr>
          <w:rStyle w:val="19"/>
          <w:rFonts w:ascii="仿宋" w:hAnsi="仿宋" w:eastAsia="仿宋" w:cs="仿宋"/>
          <w:kern w:val="0"/>
          <w:lang w:val="en-US"/>
        </w:rPr>
        <w:t xml:space="preserve">    </w:t>
      </w:r>
      <w:r>
        <w:rPr>
          <w:rStyle w:val="19"/>
          <w:rFonts w:ascii="仿宋" w:hAnsi="仿宋" w:eastAsia="仿宋" w:cs="仿宋"/>
          <w:kern w:val="0"/>
          <w:lang w:val="zh-TW" w:eastAsia="zh-TW"/>
        </w:rPr>
        <w:t>光伏电子中心管控软件作为智慧新能源实训平台的中枢控制软件，部署于管控平台，主要通过对于管控平台产能模块的控制，产能数据的采集，以及就此真实数据与规划平台产生的模拟数据比对，调适等的互动操作，实现了对于全网的电气参数采集、监视，处理报警，数据存储、分析、报表，远程控制，对于微网电源、负荷平衡计算以及新能源发电、储能、负荷综合调度管理。</w:t>
      </w:r>
    </w:p>
    <w:p>
      <w:pPr>
        <w:framePr w:w="0" w:wrap="auto" w:vAnchor="margin" w:hAnchor="text" w:yAlign="inline"/>
        <w:spacing w:line="520" w:lineRule="exact"/>
        <w:jc w:val="left"/>
        <w:rPr>
          <w:rStyle w:val="19"/>
          <w:rFonts w:ascii="仿宋" w:hAnsi="仿宋" w:eastAsia="仿宋" w:cs="仿宋"/>
          <w:b/>
          <w:bCs/>
          <w:kern w:val="0"/>
        </w:rPr>
      </w:pPr>
      <w:r>
        <w:rPr>
          <w:rStyle w:val="19"/>
          <w:rFonts w:ascii="仿宋" w:hAnsi="仿宋" w:eastAsia="仿宋" w:cs="仿宋"/>
          <w:b/>
          <w:bCs/>
          <w:kern w:val="0"/>
          <w:lang w:val="en-US"/>
        </w:rPr>
        <w:t xml:space="preserve">    </w:t>
      </w:r>
      <w:r>
        <w:rPr>
          <w:rStyle w:val="19"/>
          <w:rFonts w:ascii="仿宋" w:hAnsi="仿宋" w:eastAsia="仿宋" w:cs="仿宋"/>
          <w:b/>
          <w:bCs/>
          <w:kern w:val="0"/>
          <w:lang w:val="zh-TW" w:eastAsia="zh-TW"/>
        </w:rPr>
        <w:t>能源互联网规划软件</w:t>
      </w:r>
    </w:p>
    <w:p>
      <w:pPr>
        <w:framePr w:w="0" w:wrap="auto" w:vAnchor="margin" w:hAnchor="text" w:yAlign="inline"/>
        <w:spacing w:line="500" w:lineRule="exact"/>
        <w:rPr>
          <w:rStyle w:val="19"/>
          <w:rFonts w:ascii="仿宋" w:hAnsi="仿宋" w:eastAsia="仿宋" w:cs="仿宋"/>
          <w:kern w:val="0"/>
          <w:lang w:val="zh-TW" w:eastAsia="zh-TW"/>
        </w:rPr>
      </w:pPr>
      <w:r>
        <w:rPr>
          <w:rStyle w:val="19"/>
          <w:rFonts w:ascii="仿宋" w:hAnsi="仿宋" w:eastAsia="仿宋" w:cs="仿宋"/>
          <w:kern w:val="0"/>
          <w:lang w:val="zh-TW" w:eastAsia="zh-TW"/>
        </w:rPr>
        <w:t>能源互联网规划软件作为新能源系统工程规划部署平台，可以导入各种现实或模拟的地形地貌，以网格形式进行部署和展示系统，具有地形、气候、产能、用能等功能模拟。能与管控平台进行数据通讯，也可以通过管控平台与环境平台进行数据互动，实现虚拟与现实的有机结合。不同权限使用者可对系统属性、功能等进行修正、部署，从而模拟出城市（区域）产能供能用能等数据，并对环境平台进行产能模式控制。</w:t>
      </w:r>
    </w:p>
    <w:p>
      <w:pPr>
        <w:framePr w:w="0" w:wrap="auto" w:vAnchor="margin" w:hAnchor="text" w:yAlign="inline"/>
        <w:spacing w:line="500" w:lineRule="exact"/>
        <w:rPr>
          <w:rStyle w:val="19"/>
          <w:rFonts w:ascii="仿宋" w:hAnsi="仿宋" w:eastAsia="仿宋" w:cs="仿宋"/>
          <w:kern w:val="0"/>
          <w:lang w:val="zh-TW" w:eastAsia="zh-TW"/>
        </w:rPr>
      </w:pPr>
      <w:bookmarkStart w:id="87" w:name="_Toc39"/>
      <w:r>
        <w:rPr>
          <w:rFonts w:hint="eastAsia"/>
          <w:lang w:val="en-US" w:eastAsia="zh-CN"/>
        </w:rPr>
        <w:t>2</w:t>
      </w:r>
      <w:r>
        <w:rPr>
          <w:rStyle w:val="28"/>
          <w:rFonts w:hint="eastAsia"/>
          <w:lang w:val="en-US" w:eastAsia="zh-CN"/>
        </w:rPr>
        <w:t>.</w:t>
      </w:r>
      <w:r>
        <w:rPr>
          <w:rStyle w:val="28"/>
          <w:lang w:val="zh-TW" w:eastAsia="zh-TW"/>
        </w:rPr>
        <w:t>设备清单</w:t>
      </w:r>
      <w:bookmarkEnd w:id="87"/>
    </w:p>
    <w:p>
      <w:pPr>
        <w:framePr w:w="0" w:wrap="auto" w:vAnchor="margin" w:hAnchor="text" w:yAlign="inline"/>
        <w:rPr>
          <w:lang w:val="zh-TW" w:eastAsia="zh-TW"/>
        </w:rPr>
      </w:pPr>
    </w:p>
    <w:tbl>
      <w:tblPr>
        <w:tblStyle w:val="12"/>
        <w:tblW w:w="9747" w:type="dxa"/>
        <w:tblInd w:w="0" w:type="dxa"/>
        <w:tblLayout w:type="fixed"/>
        <w:tblCellMar>
          <w:top w:w="0" w:type="dxa"/>
          <w:left w:w="108" w:type="dxa"/>
          <w:bottom w:w="0" w:type="dxa"/>
          <w:right w:w="108" w:type="dxa"/>
        </w:tblCellMar>
      </w:tblPr>
      <w:tblGrid>
        <w:gridCol w:w="675"/>
        <w:gridCol w:w="1843"/>
        <w:gridCol w:w="1559"/>
        <w:gridCol w:w="5670"/>
      </w:tblGrid>
      <w:tr>
        <w:tblPrEx>
          <w:tblLayout w:type="fixed"/>
          <w:tblCellMar>
            <w:top w:w="0" w:type="dxa"/>
            <w:left w:w="108" w:type="dxa"/>
            <w:bottom w:w="0" w:type="dxa"/>
            <w:right w:w="108" w:type="dxa"/>
          </w:tblCellMar>
        </w:tblPrEx>
        <w:tc>
          <w:tcPr>
            <w:tcW w:w="9747" w:type="dxa"/>
            <w:gridSpan w:val="4"/>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b/>
                <w:bCs/>
                <w:kern w:val="0"/>
                <w:sz w:val="24"/>
                <w:szCs w:val="24"/>
              </w:rPr>
            </w:pPr>
            <w:bookmarkStart w:id="88" w:name="OLE_LINK17"/>
            <w:r>
              <w:rPr>
                <w:rFonts w:ascii="宋体" w:hAnsi="宋体" w:eastAsia="宋体" w:cs="宋体"/>
                <w:b/>
                <w:kern w:val="0"/>
                <w:sz w:val="24"/>
                <w:szCs w:val="24"/>
              </w:rPr>
              <w:t xml:space="preserve">Vulcan.sw  </w:t>
            </w:r>
            <w:r>
              <w:rPr>
                <w:rFonts w:hint="eastAsia" w:ascii="宋体" w:hAnsi="宋体" w:eastAsia="宋体" w:cs="宋体"/>
                <w:b/>
                <w:bCs/>
                <w:kern w:val="0"/>
                <w:sz w:val="24"/>
                <w:szCs w:val="24"/>
              </w:rPr>
              <w:t>设备清单</w:t>
            </w:r>
          </w:p>
        </w:tc>
      </w:tr>
      <w:tr>
        <w:tblPrEx>
          <w:tblLayout w:type="fixed"/>
          <w:tblCellMar>
            <w:top w:w="0" w:type="dxa"/>
            <w:left w:w="108" w:type="dxa"/>
            <w:bottom w:w="0" w:type="dxa"/>
            <w:right w:w="108" w:type="dxa"/>
          </w:tblCellMar>
        </w:tblPrEx>
        <w:tc>
          <w:tcPr>
            <w:tcW w:w="675"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b/>
                <w:bCs/>
                <w:kern w:val="0"/>
                <w:szCs w:val="21"/>
              </w:rPr>
            </w:pPr>
            <w:r>
              <w:rPr>
                <w:rFonts w:hint="eastAsia" w:ascii="宋体" w:hAnsi="宋体" w:eastAsia="宋体" w:cs="宋体"/>
                <w:b/>
                <w:bCs/>
                <w:kern w:val="0"/>
                <w:szCs w:val="21"/>
              </w:rPr>
              <w:t>序号</w:t>
            </w:r>
          </w:p>
        </w:tc>
        <w:tc>
          <w:tcPr>
            <w:tcW w:w="1843"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b/>
                <w:bCs/>
                <w:kern w:val="0"/>
                <w:szCs w:val="21"/>
              </w:rPr>
            </w:pPr>
            <w:r>
              <w:rPr>
                <w:rFonts w:hint="eastAsia" w:ascii="宋体" w:hAnsi="宋体" w:eastAsia="宋体" w:cs="宋体"/>
                <w:b/>
                <w:bCs/>
                <w:kern w:val="0"/>
                <w:szCs w:val="21"/>
              </w:rPr>
              <w:t>系统平台</w:t>
            </w: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b/>
                <w:bCs/>
                <w:kern w:val="0"/>
                <w:szCs w:val="21"/>
              </w:rPr>
            </w:pPr>
            <w:r>
              <w:rPr>
                <w:rFonts w:hint="eastAsia" w:ascii="宋体" w:hAnsi="宋体" w:eastAsia="宋体" w:cs="宋体"/>
                <w:b/>
                <w:bCs/>
                <w:kern w:val="0"/>
                <w:szCs w:val="21"/>
              </w:rPr>
              <w:t>平台模块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b/>
                <w:bCs/>
                <w:kern w:val="0"/>
                <w:szCs w:val="21"/>
              </w:rPr>
            </w:pPr>
            <w:r>
              <w:rPr>
                <w:rFonts w:hint="eastAsia" w:ascii="宋体" w:hAnsi="宋体" w:eastAsia="宋体" w:cs="宋体"/>
                <w:b/>
                <w:bCs/>
                <w:kern w:val="0"/>
                <w:szCs w:val="21"/>
              </w:rPr>
              <w:t>功能描述</w:t>
            </w:r>
          </w:p>
        </w:tc>
      </w:tr>
      <w:tr>
        <w:tblPrEx>
          <w:tblLayout w:type="fixed"/>
          <w:tblCellMar>
            <w:top w:w="0" w:type="dxa"/>
            <w:left w:w="108" w:type="dxa"/>
            <w:bottom w:w="0" w:type="dxa"/>
            <w:right w:w="108" w:type="dxa"/>
          </w:tblCellMar>
        </w:tblPrEx>
        <w:tc>
          <w:tcPr>
            <w:tcW w:w="675" w:type="dxa"/>
            <w:vMerge w:val="restart"/>
            <w:tcBorders>
              <w:top w:val="single" w:color="BFBFBF" w:sz="8" w:space="0"/>
              <w:left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0"/>
                <w:szCs w:val="21"/>
              </w:rPr>
            </w:pPr>
            <w:r>
              <w:rPr>
                <w:rFonts w:ascii="宋体" w:hAnsi="宋体" w:eastAsia="宋体" w:cs="宋体"/>
                <w:kern w:val="0"/>
                <w:szCs w:val="21"/>
              </w:rPr>
              <w:t>1</w:t>
            </w:r>
          </w:p>
        </w:tc>
        <w:tc>
          <w:tcPr>
            <w:tcW w:w="1843" w:type="dxa"/>
            <w:vMerge w:val="restart"/>
            <w:tcBorders>
              <w:top w:val="single" w:color="BFBFBF" w:sz="8" w:space="0"/>
              <w:left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0"/>
                <w:sz w:val="18"/>
                <w:szCs w:val="18"/>
              </w:rPr>
            </w:pPr>
            <w:r>
              <w:rPr>
                <w:rFonts w:hint="eastAsia" w:ascii="宋体" w:hAnsi="宋体" w:eastAsia="宋体" w:cs="宋体"/>
                <w:kern w:val="0"/>
                <w:sz w:val="18"/>
                <w:szCs w:val="18"/>
              </w:rPr>
              <w:t>工程环境模拟平台</w:t>
            </w: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0"/>
                <w:sz w:val="18"/>
                <w:szCs w:val="18"/>
              </w:rPr>
            </w:pPr>
            <w:r>
              <w:rPr>
                <w:rFonts w:hint="eastAsia" w:ascii="宋体" w:hAnsi="宋体" w:eastAsia="宋体" w:cs="宋体"/>
                <w:kern w:val="0"/>
                <w:sz w:val="18"/>
                <w:szCs w:val="18"/>
              </w:rPr>
              <w:t>光伏发电模块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spacing w:line="240" w:lineRule="exact"/>
              <w:rPr>
                <w:rFonts w:ascii="宋体" w:hAnsi="宋体" w:eastAsia="宋体" w:cs="宋体"/>
                <w:kern w:val="0"/>
                <w:sz w:val="18"/>
                <w:szCs w:val="18"/>
              </w:rPr>
            </w:pPr>
            <w:r>
              <w:rPr>
                <w:rFonts w:hint="eastAsia" w:ascii="宋体" w:hAnsi="宋体" w:eastAsia="宋体" w:cs="宋体"/>
                <w:kern w:val="0"/>
                <w:sz w:val="18"/>
                <w:szCs w:val="18"/>
              </w:rPr>
              <w:t>光伏发电模块主要由模拟光源、模拟光源支架、模拟光源驱动装置、太阳能电池组件、地面光伏模拟装置和屋顶光伏模拟装置组成；</w:t>
            </w:r>
          </w:p>
          <w:p>
            <w:pPr>
              <w:framePr w:w="0" w:wrap="auto" w:vAnchor="margin" w:hAnchor="text" w:yAlign="inline"/>
              <w:autoSpaceDE w:val="0"/>
              <w:autoSpaceDN w:val="0"/>
              <w:adjustRightInd w:val="0"/>
              <w:spacing w:line="240" w:lineRule="exact"/>
              <w:rPr>
                <w:rFonts w:ascii="宋体" w:hAnsi="宋体" w:eastAsia="宋体" w:cs="宋体"/>
                <w:kern w:val="0"/>
                <w:sz w:val="18"/>
                <w:szCs w:val="18"/>
              </w:rPr>
            </w:pPr>
            <w:r>
              <w:rPr>
                <w:rFonts w:hint="eastAsia" w:ascii="宋体" w:hAnsi="宋体" w:eastAsia="宋体" w:cs="宋体"/>
                <w:kern w:val="0"/>
                <w:sz w:val="18"/>
                <w:szCs w:val="18"/>
              </w:rPr>
              <w:t>通过采用大功率碘钨灯作为模拟光源可有效模拟实际日光的发电效果；</w:t>
            </w:r>
          </w:p>
          <w:p>
            <w:pPr>
              <w:framePr w:w="0" w:wrap="auto" w:vAnchor="margin" w:hAnchor="text" w:yAlign="inline"/>
              <w:autoSpaceDE w:val="0"/>
              <w:autoSpaceDN w:val="0"/>
              <w:adjustRightInd w:val="0"/>
              <w:spacing w:line="240" w:lineRule="exact"/>
              <w:rPr>
                <w:rFonts w:ascii="宋体" w:hAnsi="宋体" w:eastAsia="宋体" w:cs="宋体"/>
                <w:kern w:val="1"/>
                <w:sz w:val="18"/>
                <w:szCs w:val="18"/>
              </w:rPr>
            </w:pPr>
            <w:r>
              <w:rPr>
                <w:rFonts w:hint="eastAsia" w:ascii="宋体" w:hAnsi="宋体" w:eastAsia="宋体" w:cs="宋体"/>
                <w:kern w:val="0"/>
                <w:sz w:val="18"/>
                <w:szCs w:val="18"/>
              </w:rPr>
              <w:t>光伏逐日模块，</w:t>
            </w:r>
            <w:r>
              <w:rPr>
                <w:rFonts w:hint="eastAsia" w:ascii="宋体" w:hAnsi="宋体" w:eastAsia="宋体" w:cs="宋体"/>
                <w:kern w:val="1"/>
                <w:sz w:val="18"/>
                <w:szCs w:val="18"/>
              </w:rPr>
              <w:t>最优化太阳光使用，提高光电转换效率的机械及电控单元系统，包括：电机、涡轮蜗杆、传感器系统等。</w:t>
            </w:r>
          </w:p>
          <w:p>
            <w:pPr>
              <w:framePr w:w="0" w:wrap="auto" w:vAnchor="margin" w:hAnchor="text" w:yAlign="inline"/>
              <w:autoSpaceDE w:val="0"/>
              <w:autoSpaceDN w:val="0"/>
              <w:adjustRightInd w:val="0"/>
              <w:spacing w:line="240" w:lineRule="exact"/>
              <w:rPr>
                <w:rFonts w:ascii="宋体" w:hAnsi="宋体" w:eastAsia="宋体" w:cs="宋体"/>
                <w:kern w:val="1"/>
                <w:sz w:val="18"/>
                <w:szCs w:val="18"/>
              </w:rPr>
            </w:pPr>
            <w:r>
              <w:rPr>
                <w:rFonts w:hint="eastAsia" w:ascii="宋体" w:hAnsi="宋体" w:eastAsia="宋体" w:cs="宋体"/>
                <w:kern w:val="1"/>
                <w:sz w:val="18"/>
                <w:szCs w:val="18"/>
              </w:rPr>
              <w:t>通过结合光伏发电的实际应用，模拟出地面光伏和屋顶光伏的不同效果，有效扩展同一平台上的多种光伏电站实现方式。</w:t>
            </w:r>
          </w:p>
        </w:tc>
      </w:tr>
      <w:tr>
        <w:tblPrEx>
          <w:tblLayout w:type="fixed"/>
          <w:tblCellMar>
            <w:top w:w="0" w:type="dxa"/>
            <w:left w:w="108" w:type="dxa"/>
            <w:bottom w:w="0" w:type="dxa"/>
            <w:right w:w="108" w:type="dxa"/>
          </w:tblCellMar>
        </w:tblPrEx>
        <w:tc>
          <w:tcPr>
            <w:tcW w:w="675" w:type="dxa"/>
            <w:vMerge w:val="continue"/>
            <w:tcBorders>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0"/>
                <w:szCs w:val="21"/>
              </w:rPr>
            </w:pPr>
          </w:p>
        </w:tc>
        <w:tc>
          <w:tcPr>
            <w:tcW w:w="1843" w:type="dxa"/>
            <w:vMerge w:val="continue"/>
            <w:tcBorders>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0"/>
                <w:sz w:val="18"/>
                <w:szCs w:val="18"/>
              </w:rPr>
            </w:pP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0"/>
                <w:sz w:val="18"/>
                <w:szCs w:val="18"/>
              </w:rPr>
            </w:pPr>
            <w:r>
              <w:rPr>
                <w:rFonts w:hint="eastAsia" w:ascii="宋体" w:hAnsi="宋体" w:eastAsia="宋体" w:cs="宋体"/>
                <w:kern w:val="0"/>
                <w:sz w:val="18"/>
                <w:szCs w:val="18"/>
              </w:rPr>
              <w:t>环境显控模块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spacing w:line="240" w:lineRule="exact"/>
              <w:rPr>
                <w:rFonts w:ascii="宋体" w:hAnsi="宋体" w:eastAsia="宋体" w:cs="宋体"/>
                <w:kern w:val="0"/>
                <w:sz w:val="18"/>
                <w:szCs w:val="18"/>
              </w:rPr>
            </w:pPr>
            <w:r>
              <w:rPr>
                <w:rFonts w:hint="eastAsia" w:ascii="宋体" w:hAnsi="宋体" w:eastAsia="宋体" w:cs="宋体"/>
                <w:kern w:val="0"/>
                <w:sz w:val="18"/>
                <w:szCs w:val="18"/>
              </w:rPr>
              <w:t>在平台上通过显控屏幕操作，可对光照强度、太阳运轨角度等控制</w:t>
            </w:r>
          </w:p>
        </w:tc>
      </w:tr>
      <w:tr>
        <w:tblPrEx>
          <w:tblLayout w:type="fixed"/>
          <w:tblCellMar>
            <w:top w:w="0" w:type="dxa"/>
            <w:left w:w="108" w:type="dxa"/>
            <w:bottom w:w="0" w:type="dxa"/>
            <w:right w:w="108" w:type="dxa"/>
          </w:tblCellMar>
        </w:tblPrEx>
        <w:tc>
          <w:tcPr>
            <w:tcW w:w="675" w:type="dxa"/>
            <w:vMerge w:val="restart"/>
            <w:tcBorders>
              <w:top w:val="single" w:color="BFBFBF" w:sz="8" w:space="0"/>
              <w:left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Cs w:val="21"/>
              </w:rPr>
            </w:pPr>
            <w:r>
              <w:rPr>
                <w:rFonts w:ascii="宋体" w:hAnsi="宋体" w:eastAsia="宋体" w:cs="宋体"/>
                <w:kern w:val="1"/>
                <w:szCs w:val="21"/>
              </w:rPr>
              <w:t>2</w:t>
            </w:r>
          </w:p>
        </w:tc>
        <w:tc>
          <w:tcPr>
            <w:tcW w:w="1843" w:type="dxa"/>
            <w:vMerge w:val="restart"/>
            <w:tcBorders>
              <w:top w:val="single" w:color="BFBFBF" w:sz="8" w:space="0"/>
              <w:left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1"/>
                <w:sz w:val="18"/>
                <w:szCs w:val="18"/>
              </w:rPr>
            </w:pPr>
            <w:r>
              <w:rPr>
                <w:rFonts w:hint="eastAsia" w:ascii="宋体" w:hAnsi="宋体" w:eastAsia="宋体" w:cs="宋体"/>
                <w:kern w:val="1"/>
                <w:sz w:val="18"/>
                <w:szCs w:val="18"/>
              </w:rPr>
              <w:t>光伏电子中心控制平台</w:t>
            </w: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 w:val="18"/>
                <w:szCs w:val="18"/>
              </w:rPr>
            </w:pPr>
            <w:r>
              <w:rPr>
                <w:rFonts w:hint="eastAsia" w:ascii="宋体" w:hAnsi="宋体" w:eastAsia="宋体" w:cs="宋体"/>
                <w:kern w:val="1"/>
                <w:sz w:val="18"/>
                <w:szCs w:val="18"/>
              </w:rPr>
              <w:t>数据采集模块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数据采集模块通过安装直流电压表、直流电流表、交流电压表、交流电流表、功率因数表等仪表，来实现智慧新能源系统的数据显示和采集。</w:t>
            </w:r>
          </w:p>
        </w:tc>
      </w:tr>
      <w:tr>
        <w:tblPrEx>
          <w:tblLayout w:type="fixed"/>
          <w:tblCellMar>
            <w:top w:w="0" w:type="dxa"/>
            <w:left w:w="108" w:type="dxa"/>
            <w:bottom w:w="0" w:type="dxa"/>
            <w:right w:w="108" w:type="dxa"/>
          </w:tblCellMar>
        </w:tblPrEx>
        <w:tc>
          <w:tcPr>
            <w:tcW w:w="675" w:type="dxa"/>
            <w:vMerge w:val="continue"/>
            <w:tcBorders>
              <w:left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Cs w:val="21"/>
              </w:rPr>
            </w:pPr>
          </w:p>
        </w:tc>
        <w:tc>
          <w:tcPr>
            <w:tcW w:w="1843" w:type="dxa"/>
            <w:vMerge w:val="continue"/>
            <w:tcBorders>
              <w:left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1"/>
                <w:sz w:val="18"/>
                <w:szCs w:val="18"/>
              </w:rPr>
            </w:pP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 w:val="18"/>
                <w:szCs w:val="18"/>
              </w:rPr>
            </w:pPr>
            <w:r>
              <w:rPr>
                <w:rFonts w:hint="eastAsia" w:ascii="宋体" w:hAnsi="宋体" w:eastAsia="宋体" w:cs="宋体"/>
                <w:kern w:val="1"/>
                <w:sz w:val="18"/>
                <w:szCs w:val="18"/>
              </w:rPr>
              <w:t>集中控制模块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集控模块由</w:t>
            </w:r>
            <w:r>
              <w:rPr>
                <w:rFonts w:ascii="宋体" w:hAnsi="宋体" w:eastAsia="宋体" w:cs="宋体"/>
                <w:kern w:val="1"/>
                <w:sz w:val="18"/>
                <w:szCs w:val="18"/>
              </w:rPr>
              <w:t>PLC</w:t>
            </w:r>
            <w:r>
              <w:rPr>
                <w:rFonts w:hint="eastAsia" w:ascii="宋体" w:hAnsi="宋体" w:eastAsia="宋体" w:cs="宋体"/>
                <w:kern w:val="1"/>
                <w:sz w:val="18"/>
                <w:szCs w:val="18"/>
              </w:rPr>
              <w:t>组件系统、电源系统、断路保护系统、逆变系统、光伏控制系统和储能系统等组成。</w:t>
            </w:r>
          </w:p>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集控模块是整个智慧新能源平台的核心，通过连接环境模拟平台、负载模块，实现其控制功能和能源管理功能。</w:t>
            </w:r>
          </w:p>
        </w:tc>
      </w:tr>
      <w:tr>
        <w:tblPrEx>
          <w:tblLayout w:type="fixed"/>
          <w:tblCellMar>
            <w:top w:w="0" w:type="dxa"/>
            <w:left w:w="108" w:type="dxa"/>
            <w:bottom w:w="0" w:type="dxa"/>
            <w:right w:w="108" w:type="dxa"/>
          </w:tblCellMar>
        </w:tblPrEx>
        <w:tc>
          <w:tcPr>
            <w:tcW w:w="675" w:type="dxa"/>
            <w:vMerge w:val="continue"/>
            <w:tcBorders>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Cs w:val="21"/>
              </w:rPr>
            </w:pPr>
          </w:p>
        </w:tc>
        <w:tc>
          <w:tcPr>
            <w:tcW w:w="1843" w:type="dxa"/>
            <w:vMerge w:val="continue"/>
            <w:tcBorders>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1"/>
                <w:sz w:val="18"/>
                <w:szCs w:val="18"/>
              </w:rPr>
            </w:pP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 w:val="18"/>
                <w:szCs w:val="18"/>
              </w:rPr>
            </w:pPr>
            <w:r>
              <w:rPr>
                <w:rFonts w:hint="eastAsia" w:ascii="宋体" w:hAnsi="宋体" w:eastAsia="宋体" w:cs="宋体"/>
                <w:kern w:val="1"/>
                <w:sz w:val="18"/>
                <w:szCs w:val="18"/>
              </w:rPr>
              <w:t>负载模块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负载模块主要由实际用能侧的展示，来体现智慧新能源的实际应用性。本实训系统通过在负载模块安装交通信号灯、直流风扇、交流风扇、白炽灯、机械臂等直流和交流负载，来展示智慧新能源广泛的应用性和可靠性。</w:t>
            </w:r>
          </w:p>
        </w:tc>
      </w:tr>
      <w:tr>
        <w:tblPrEx>
          <w:tblLayout w:type="fixed"/>
          <w:tblCellMar>
            <w:top w:w="0" w:type="dxa"/>
            <w:left w:w="108" w:type="dxa"/>
            <w:bottom w:w="0" w:type="dxa"/>
            <w:right w:w="108" w:type="dxa"/>
          </w:tblCellMar>
        </w:tblPrEx>
        <w:tc>
          <w:tcPr>
            <w:tcW w:w="675"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Cs w:val="21"/>
              </w:rPr>
            </w:pPr>
            <w:r>
              <w:rPr>
                <w:rFonts w:ascii="宋体" w:hAnsi="宋体" w:eastAsia="宋体" w:cs="宋体"/>
                <w:kern w:val="1"/>
                <w:szCs w:val="21"/>
              </w:rPr>
              <w:t>3</w:t>
            </w:r>
          </w:p>
        </w:tc>
        <w:tc>
          <w:tcPr>
            <w:tcW w:w="1843"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1"/>
                <w:sz w:val="18"/>
                <w:szCs w:val="18"/>
              </w:rPr>
            </w:pPr>
            <w:r>
              <w:rPr>
                <w:rFonts w:hint="eastAsia" w:ascii="宋体" w:hAnsi="宋体" w:eastAsia="宋体" w:cs="宋体"/>
                <w:kern w:val="1"/>
                <w:sz w:val="18"/>
                <w:szCs w:val="18"/>
              </w:rPr>
              <w:t>能源互联网仿真规划平台</w:t>
            </w: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 w:val="18"/>
                <w:szCs w:val="18"/>
              </w:rPr>
            </w:pPr>
            <w:r>
              <w:rPr>
                <w:rFonts w:hint="eastAsia" w:ascii="宋体" w:hAnsi="宋体" w:eastAsia="宋体" w:cs="宋体"/>
                <w:kern w:val="1"/>
                <w:sz w:val="18"/>
                <w:szCs w:val="18"/>
              </w:rPr>
              <w:t>高清红外触摸显示模块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以交互式仿真场景沙盘为实训载体，融合仿真建模、空间数据处理、信息通信、分布计算及显示控制领域的核心技术，模拟再现多元化的能源供需网络系统情景。实训者可根据区域整体环境状况，根据对于多种能源的不同需求，规划设计匹配的能源系统，并对其进行协同优化，以能源利用效率最大化和能效的最优化作为综合实训的评估依据之一。</w:t>
            </w:r>
          </w:p>
        </w:tc>
      </w:tr>
      <w:tr>
        <w:tblPrEx>
          <w:tblLayout w:type="fixed"/>
          <w:tblCellMar>
            <w:top w:w="0" w:type="dxa"/>
            <w:left w:w="108" w:type="dxa"/>
            <w:bottom w:w="0" w:type="dxa"/>
            <w:right w:w="108" w:type="dxa"/>
          </w:tblCellMar>
        </w:tblPrEx>
        <w:tc>
          <w:tcPr>
            <w:tcW w:w="675"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Cs w:val="21"/>
              </w:rPr>
            </w:pPr>
            <w:r>
              <w:rPr>
                <w:rFonts w:ascii="宋体" w:hAnsi="宋体" w:eastAsia="宋体" w:cs="宋体"/>
                <w:kern w:val="1"/>
                <w:szCs w:val="21"/>
              </w:rPr>
              <w:t>4</w:t>
            </w:r>
          </w:p>
        </w:tc>
        <w:tc>
          <w:tcPr>
            <w:tcW w:w="1843"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1"/>
                <w:sz w:val="18"/>
                <w:szCs w:val="18"/>
              </w:rPr>
            </w:pPr>
            <w:r>
              <w:rPr>
                <w:rFonts w:hint="eastAsia" w:ascii="宋体" w:hAnsi="宋体" w:eastAsia="宋体" w:cs="宋体"/>
                <w:kern w:val="1"/>
                <w:sz w:val="18"/>
                <w:szCs w:val="18"/>
              </w:rPr>
              <w:t>光伏电子中心管控软件</w:t>
            </w: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 w:val="18"/>
                <w:szCs w:val="18"/>
              </w:rPr>
            </w:pPr>
            <w:r>
              <w:rPr>
                <w:rFonts w:hint="eastAsia" w:ascii="宋体" w:hAnsi="宋体" w:eastAsia="宋体" w:cs="宋体"/>
                <w:kern w:val="1"/>
                <w:sz w:val="18"/>
                <w:szCs w:val="18"/>
              </w:rPr>
              <w:t>人机界面模块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人机界面模块由计算机和实训管控软件，是进行人机操作的窗</w:t>
            </w:r>
          </w:p>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口，也是实训过程中进行编程和管理控制的主要工位。</w:t>
            </w:r>
          </w:p>
        </w:tc>
      </w:tr>
      <w:tr>
        <w:tblPrEx>
          <w:tblLayout w:type="fixed"/>
          <w:tblCellMar>
            <w:top w:w="0" w:type="dxa"/>
            <w:left w:w="108" w:type="dxa"/>
            <w:bottom w:w="0" w:type="dxa"/>
            <w:right w:w="108" w:type="dxa"/>
          </w:tblCellMar>
        </w:tblPrEx>
        <w:tc>
          <w:tcPr>
            <w:tcW w:w="675" w:type="dxa"/>
            <w:vMerge w:val="restart"/>
            <w:tcBorders>
              <w:top w:val="single" w:color="BFBFBF" w:sz="8" w:space="0"/>
              <w:left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Cs w:val="21"/>
              </w:rPr>
            </w:pPr>
            <w:r>
              <w:rPr>
                <w:rFonts w:ascii="宋体" w:hAnsi="宋体" w:eastAsia="宋体" w:cs="宋体"/>
                <w:kern w:val="1"/>
                <w:szCs w:val="21"/>
              </w:rPr>
              <w:t>5</w:t>
            </w:r>
          </w:p>
        </w:tc>
        <w:tc>
          <w:tcPr>
            <w:tcW w:w="1843" w:type="dxa"/>
            <w:vMerge w:val="restart"/>
            <w:tcBorders>
              <w:top w:val="single" w:color="BFBFBF" w:sz="8" w:space="0"/>
              <w:left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1"/>
                <w:sz w:val="18"/>
                <w:szCs w:val="18"/>
              </w:rPr>
            </w:pPr>
            <w:r>
              <w:rPr>
                <w:rFonts w:hint="eastAsia" w:ascii="宋体" w:hAnsi="宋体" w:eastAsia="宋体" w:cs="宋体"/>
                <w:kern w:val="1"/>
                <w:sz w:val="18"/>
                <w:szCs w:val="18"/>
              </w:rPr>
              <w:t>能源互联网规划软件</w:t>
            </w: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 w:val="18"/>
                <w:szCs w:val="18"/>
              </w:rPr>
            </w:pPr>
            <w:r>
              <w:rPr>
                <w:rFonts w:hint="eastAsia" w:ascii="宋体" w:hAnsi="宋体" w:eastAsia="宋体" w:cs="宋体"/>
                <w:kern w:val="1"/>
                <w:sz w:val="18"/>
                <w:szCs w:val="18"/>
              </w:rPr>
              <w:t>管理者模块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园区导入</w:t>
            </w:r>
            <w:r>
              <w:rPr>
                <w:rFonts w:ascii="宋体" w:hAnsi="宋体" w:eastAsia="宋体" w:cs="宋体"/>
                <w:kern w:val="1"/>
                <w:sz w:val="18"/>
                <w:szCs w:val="18"/>
              </w:rPr>
              <w:t>:</w:t>
            </w:r>
            <w:r>
              <w:rPr>
                <w:rFonts w:hint="eastAsia" w:ascii="宋体" w:hAnsi="宋体" w:eastAsia="宋体" w:cs="宋体"/>
                <w:kern w:val="1"/>
                <w:sz w:val="18"/>
                <w:szCs w:val="18"/>
              </w:rPr>
              <w:t>导入预设的园区地图；</w:t>
            </w:r>
          </w:p>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气候修正</w:t>
            </w:r>
            <w:r>
              <w:rPr>
                <w:rFonts w:ascii="宋体" w:hAnsi="宋体" w:eastAsia="宋体" w:cs="宋体"/>
                <w:kern w:val="1"/>
                <w:sz w:val="18"/>
                <w:szCs w:val="18"/>
              </w:rPr>
              <w:t>:</w:t>
            </w:r>
            <w:r>
              <w:rPr>
                <w:rFonts w:hint="eastAsia" w:ascii="宋体" w:hAnsi="宋体" w:eastAsia="宋体" w:cs="宋体"/>
                <w:kern w:val="1"/>
                <w:sz w:val="18"/>
                <w:szCs w:val="18"/>
              </w:rPr>
              <w:t>修正园区内气候因素；</w:t>
            </w:r>
          </w:p>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土地类型</w:t>
            </w:r>
            <w:r>
              <w:rPr>
                <w:rFonts w:ascii="宋体" w:hAnsi="宋体" w:eastAsia="宋体" w:cs="宋体"/>
                <w:kern w:val="1"/>
                <w:sz w:val="18"/>
                <w:szCs w:val="18"/>
              </w:rPr>
              <w:t>:</w:t>
            </w:r>
            <w:r>
              <w:rPr>
                <w:rFonts w:hint="eastAsia" w:ascii="宋体" w:hAnsi="宋体" w:eastAsia="宋体" w:cs="宋体"/>
                <w:kern w:val="1"/>
                <w:sz w:val="18"/>
                <w:szCs w:val="18"/>
              </w:rPr>
              <w:t>设定园区土地使用类型；</w:t>
            </w:r>
          </w:p>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建筑编辑</w:t>
            </w:r>
            <w:r>
              <w:rPr>
                <w:rFonts w:ascii="宋体" w:hAnsi="宋体" w:eastAsia="宋体" w:cs="宋体"/>
                <w:kern w:val="1"/>
                <w:sz w:val="18"/>
                <w:szCs w:val="18"/>
              </w:rPr>
              <w:t>:</w:t>
            </w:r>
            <w:r>
              <w:rPr>
                <w:rFonts w:hint="eastAsia" w:ascii="宋体" w:hAnsi="宋体" w:eastAsia="宋体" w:cs="宋体"/>
                <w:kern w:val="1"/>
                <w:sz w:val="18"/>
                <w:szCs w:val="18"/>
              </w:rPr>
              <w:t>设定园区建筑物属性；</w:t>
            </w:r>
          </w:p>
          <w:p>
            <w:pPr>
              <w:framePr w:w="0" w:wrap="auto" w:vAnchor="margin" w:hAnchor="text" w:yAlign="inline"/>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能源报表统计，查阅学生新能源规划设计情况，可日月年查看。</w:t>
            </w:r>
          </w:p>
        </w:tc>
      </w:tr>
      <w:tr>
        <w:tblPrEx>
          <w:tblLayout w:type="fixed"/>
          <w:tblCellMar>
            <w:top w:w="0" w:type="dxa"/>
            <w:left w:w="108" w:type="dxa"/>
            <w:bottom w:w="0" w:type="dxa"/>
            <w:right w:w="108" w:type="dxa"/>
          </w:tblCellMar>
        </w:tblPrEx>
        <w:trPr>
          <w:trHeight w:val="1139" w:hRule="atLeast"/>
        </w:trPr>
        <w:tc>
          <w:tcPr>
            <w:tcW w:w="675" w:type="dxa"/>
            <w:vMerge w:val="continue"/>
            <w:tcBorders>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Cs w:val="21"/>
              </w:rPr>
            </w:pPr>
          </w:p>
        </w:tc>
        <w:tc>
          <w:tcPr>
            <w:tcW w:w="1843" w:type="dxa"/>
            <w:vMerge w:val="continue"/>
            <w:tcBorders>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left"/>
              <w:rPr>
                <w:rFonts w:ascii="宋体" w:hAnsi="宋体" w:eastAsia="宋体" w:cs="宋体"/>
                <w:kern w:val="1"/>
                <w:sz w:val="18"/>
                <w:szCs w:val="18"/>
              </w:rPr>
            </w:pPr>
          </w:p>
        </w:tc>
        <w:tc>
          <w:tcPr>
            <w:tcW w:w="1559"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autoSpaceDE w:val="0"/>
              <w:autoSpaceDN w:val="0"/>
              <w:adjustRightInd w:val="0"/>
              <w:jc w:val="center"/>
              <w:rPr>
                <w:rFonts w:ascii="宋体" w:hAnsi="宋体" w:eastAsia="宋体" w:cs="宋体"/>
                <w:kern w:val="1"/>
                <w:sz w:val="18"/>
                <w:szCs w:val="18"/>
              </w:rPr>
            </w:pPr>
            <w:r>
              <w:rPr>
                <w:rFonts w:hint="eastAsia" w:ascii="宋体" w:hAnsi="宋体" w:eastAsia="宋体" w:cs="宋体"/>
                <w:kern w:val="1"/>
                <w:sz w:val="18"/>
                <w:szCs w:val="18"/>
              </w:rPr>
              <w:t>设计者模块</w:t>
            </w:r>
          </w:p>
        </w:tc>
        <w:tc>
          <w:tcPr>
            <w:tcW w:w="5670" w:type="dxa"/>
            <w:tcBorders>
              <w:top w:val="single" w:color="BFBFBF" w:sz="8" w:space="0"/>
              <w:left w:val="single" w:color="BFBFBF" w:sz="8" w:space="0"/>
              <w:bottom w:val="single" w:color="BFBFBF" w:sz="8" w:space="0"/>
              <w:right w:val="single" w:color="BFBFBF" w:sz="8" w:space="0"/>
            </w:tcBorders>
            <w:tcMar>
              <w:top w:w="0" w:type="dxa"/>
              <w:right w:w="0" w:type="dxa"/>
            </w:tcMar>
            <w:vAlign w:val="center"/>
          </w:tcPr>
          <w:p>
            <w:pPr>
              <w:framePr w:w="0" w:wrap="auto" w:vAnchor="margin" w:hAnchor="text" w:yAlign="inli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宋体" w:hAnsi="宋体" w:eastAsia="宋体" w:cs="宋体"/>
                <w:kern w:val="1"/>
                <w:sz w:val="18"/>
                <w:szCs w:val="18"/>
              </w:rPr>
            </w:pPr>
            <w:r>
              <w:rPr>
                <w:rFonts w:hint="eastAsia" w:ascii="宋体" w:hAnsi="宋体" w:eastAsia="宋体" w:cs="宋体"/>
                <w:kern w:val="1"/>
                <w:sz w:val="18"/>
                <w:szCs w:val="18"/>
              </w:rPr>
              <w:t>导入管理者预设的园区情况，根据设计者的理念，进行新能源模块规划和部署</w:t>
            </w:r>
            <w:r>
              <w:rPr>
                <w:rFonts w:ascii="宋体" w:hAnsi="宋体" w:eastAsia="宋体" w:cs="宋体"/>
                <w:kern w:val="1"/>
                <w:sz w:val="18"/>
                <w:szCs w:val="18"/>
              </w:rPr>
              <w:t>,</w:t>
            </w:r>
            <w:r>
              <w:rPr>
                <w:rFonts w:hint="eastAsia" w:ascii="宋体" w:hAnsi="宋体" w:eastAsia="宋体" w:cs="宋体"/>
                <w:kern w:val="1"/>
                <w:sz w:val="18"/>
                <w:szCs w:val="18"/>
              </w:rPr>
              <w:t>并按照给定时间进行模拟，产生能源部署的运行结果。</w:t>
            </w:r>
          </w:p>
          <w:p>
            <w:pPr>
              <w:framePr w:w="0" w:wrap="auto" w:vAnchor="margin" w:hAnchor="text" w:yAlign="inline"/>
              <w:autoSpaceDE w:val="0"/>
              <w:autoSpaceDN w:val="0"/>
              <w:adjustRightInd w:val="0"/>
              <w:spacing w:after="240"/>
              <w:rPr>
                <w:rFonts w:ascii="宋体" w:hAnsi="宋体" w:eastAsia="宋体" w:cs="宋体"/>
                <w:kern w:val="1"/>
                <w:sz w:val="18"/>
                <w:szCs w:val="18"/>
              </w:rPr>
            </w:pPr>
            <w:r>
              <w:rPr>
                <w:rFonts w:hint="eastAsia" w:ascii="宋体" w:hAnsi="宋体" w:eastAsia="宋体" w:cs="宋体"/>
                <w:kern w:val="1"/>
                <w:sz w:val="18"/>
                <w:szCs w:val="18"/>
              </w:rPr>
              <w:t>该系统可以形象地表示出模拟园区所规划的产能设备在历史数据下的产能情况</w:t>
            </w:r>
            <w:r>
              <w:rPr>
                <w:rFonts w:ascii="宋体" w:hAnsi="宋体" w:eastAsia="宋体" w:cs="宋体"/>
                <w:kern w:val="1"/>
                <w:sz w:val="18"/>
                <w:szCs w:val="18"/>
              </w:rPr>
              <w:t xml:space="preserve">, </w:t>
            </w:r>
            <w:r>
              <w:rPr>
                <w:rFonts w:hint="eastAsia" w:ascii="宋体" w:hAnsi="宋体" w:eastAsia="宋体" w:cs="宋体"/>
                <w:kern w:val="1"/>
                <w:sz w:val="18"/>
                <w:szCs w:val="18"/>
              </w:rPr>
              <w:t>将枯燥的能源规划以图标形式表现出来。</w:t>
            </w:r>
          </w:p>
        </w:tc>
      </w:tr>
      <w:bookmarkEnd w:id="88"/>
    </w:tbl>
    <w:p>
      <w:pPr>
        <w:pStyle w:val="4"/>
        <w:framePr w:w="0" w:wrap="auto" w:vAnchor="margin" w:hAnchor="text" w:yAlign="inline"/>
        <w:spacing w:line="240" w:lineRule="auto"/>
        <w:rPr>
          <w:rFonts w:ascii="仿宋" w:hAnsi="仿宋" w:eastAsia="仿宋" w:cs="仿宋"/>
          <w:sz w:val="28"/>
          <w:szCs w:val="28"/>
          <w:lang w:val="zh-TW" w:eastAsia="zh-TW"/>
        </w:rPr>
      </w:pPr>
    </w:p>
    <w:p>
      <w:pPr>
        <w:pStyle w:val="3"/>
        <w:framePr w:w="0" w:wrap="auto" w:vAnchor="margin" w:hAnchor="text" w:yAlign="inline"/>
        <w:rPr>
          <w:rStyle w:val="27"/>
          <w:b/>
          <w:bCs/>
          <w:lang w:val="zh-TW" w:eastAsia="zh-TW"/>
        </w:rPr>
      </w:pPr>
      <w:bookmarkStart w:id="89" w:name="_Toc40"/>
      <w:bookmarkStart w:id="90" w:name="_Toc19799"/>
      <w:r>
        <w:rPr>
          <w:rStyle w:val="19"/>
          <w:rFonts w:ascii="仿宋" w:hAnsi="仿宋" w:eastAsia="仿宋" w:cs="仿宋"/>
          <w:sz w:val="28"/>
          <w:szCs w:val="28"/>
          <w:lang w:val="zh-TW" w:eastAsia="zh-TW"/>
        </w:rPr>
        <w:t>（</w:t>
      </w:r>
      <w:r>
        <w:rPr>
          <w:rStyle w:val="27"/>
          <w:b/>
          <w:bCs/>
          <w:lang w:val="zh-TW" w:eastAsia="zh-TW"/>
        </w:rPr>
        <w:t>二）竞赛场地和环境标准</w:t>
      </w:r>
      <w:bookmarkEnd w:id="89"/>
      <w:bookmarkEnd w:id="90"/>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1.竞赛场地应为地面平整、明亮、通风的室内场地，场地面积应不小于800㎡，场地净高应不低于3.5m；</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2.每个竞赛工位应能够提供独立的电源，其供电负荷不小于0.5kw，且含安全的接地保护，每个赛位8-10㎡；</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3.每个竞赛工位应提供性能完好的竞赛平台、相关工具和电脑1台，安装竞赛所需的相关软件。</w:t>
      </w:r>
    </w:p>
    <w:p>
      <w:pPr>
        <w:pStyle w:val="3"/>
        <w:framePr w:w="0" w:wrap="auto" w:vAnchor="margin" w:hAnchor="text" w:yAlign="inline"/>
        <w:rPr>
          <w:rStyle w:val="19"/>
          <w:rFonts w:ascii="仿宋" w:hAnsi="仿宋" w:eastAsia="仿宋" w:cs="仿宋"/>
          <w:sz w:val="28"/>
          <w:szCs w:val="28"/>
          <w:lang w:val="zh-TW" w:eastAsia="zh-TW"/>
        </w:rPr>
      </w:pPr>
      <w:bookmarkStart w:id="91" w:name="_Toc41"/>
      <w:bookmarkStart w:id="92" w:name="_Toc14817"/>
      <w:r>
        <w:rPr>
          <w:rStyle w:val="19"/>
          <w:rFonts w:ascii="仿宋" w:hAnsi="仿宋" w:eastAsia="仿宋" w:cs="仿宋"/>
          <w:sz w:val="28"/>
          <w:szCs w:val="28"/>
          <w:lang w:val="zh-TW" w:eastAsia="zh-TW"/>
        </w:rPr>
        <w:t>（</w:t>
      </w:r>
      <w:r>
        <w:rPr>
          <w:rStyle w:val="27"/>
          <w:b/>
          <w:bCs/>
          <w:lang w:val="zh-TW" w:eastAsia="zh-TW"/>
        </w:rPr>
        <w:t>三）安全防范措施</w:t>
      </w:r>
      <w:bookmarkEnd w:id="91"/>
      <w:bookmarkEnd w:id="92"/>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1.参赛选手根据规定确认竞赛设备、工具是否安全完好，严格遵守赛场规章、操作规程，保证人身及设备安全，接受裁判员的监督和警示，文明竞赛；</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2.参赛选手安装部署竞赛设备时，请详细了解各设备性能参数，如供电输入等，确保设备的正常使用；</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3.参赛选手连接电子元器件及其他套件时，注意防止正负极短路，避免烧坏；</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4.参赛选手如遇设备故障，请及时示意现场裁判，保证竞赛的正常进行。</w:t>
      </w:r>
    </w:p>
    <w:p>
      <w:pPr>
        <w:pStyle w:val="2"/>
        <w:framePr w:w="0" w:wrap="auto" w:vAnchor="margin" w:hAnchor="text" w:yAlign="inline"/>
        <w:numPr>
          <w:ilvl w:val="0"/>
          <w:numId w:val="0"/>
        </w:numPr>
        <w:bidi w:val="0"/>
        <w:ind w:leftChars="0" w:right="0" w:rightChars="0"/>
        <w:jc w:val="both"/>
        <w:rPr>
          <w:rStyle w:val="15"/>
          <w:rFonts w:ascii="仿宋" w:hAnsi="仿宋" w:eastAsia="仿宋" w:cs="仿宋"/>
          <w:lang w:val="zh-TW" w:eastAsia="zh-TW"/>
        </w:rPr>
      </w:pPr>
      <w:bookmarkStart w:id="93" w:name="_Toc25788"/>
      <w:bookmarkStart w:id="94" w:name="_Toc42"/>
      <w:r>
        <w:rPr>
          <w:rStyle w:val="15"/>
          <w:rFonts w:hint="eastAsia" w:ascii="仿宋" w:hAnsi="仿宋" w:eastAsia="仿宋" w:cs="仿宋"/>
          <w:lang w:val="zh-TW" w:eastAsia="zh-CN"/>
        </w:rPr>
        <w:t>十</w:t>
      </w:r>
      <w:r>
        <w:rPr>
          <w:rStyle w:val="29"/>
          <w:rFonts w:hint="eastAsia"/>
          <w:b/>
          <w:bCs/>
          <w:lang w:val="zh-TW" w:eastAsia="zh-CN"/>
        </w:rPr>
        <w:t>四．</w:t>
      </w:r>
      <w:r>
        <w:rPr>
          <w:rStyle w:val="29"/>
          <w:b/>
          <w:bCs/>
          <w:lang w:val="zh-TW" w:eastAsia="zh-TW"/>
        </w:rPr>
        <w:t>安全保障</w:t>
      </w:r>
      <w:bookmarkEnd w:id="93"/>
      <w:bookmarkEnd w:id="94"/>
    </w:p>
    <w:p>
      <w:pPr>
        <w:framePr w:w="0" w:wrap="auto" w:vAnchor="margin" w:hAnchor="text" w:yAlign="inline"/>
        <w:spacing w:line="500" w:lineRule="exact"/>
        <w:ind w:firstLine="560"/>
      </w:pPr>
      <w:bookmarkStart w:id="95" w:name="OLE_LINK18"/>
      <w:r>
        <w:rPr>
          <w:rStyle w:val="19"/>
          <w:rFonts w:ascii="仿宋" w:hAnsi="仿宋" w:eastAsia="仿宋" w:cs="仿宋"/>
          <w:lang w:val="zh-TW" w:eastAsia="zh-TW"/>
        </w:rPr>
        <w:t>赛项根据《</w:t>
      </w:r>
      <w:r>
        <w:rPr>
          <w:rStyle w:val="14"/>
          <w:lang w:val="en-US"/>
        </w:rPr>
        <w:t>2016</w:t>
      </w:r>
      <w:r>
        <w:rPr>
          <w:rStyle w:val="19"/>
          <w:rFonts w:ascii="仿宋" w:hAnsi="仿宋" w:eastAsia="仿宋" w:cs="仿宋"/>
          <w:lang w:val="zh-TW" w:eastAsia="zh-TW"/>
        </w:rPr>
        <w:t>年全国职业院校技能大赛安全管理规定》提出的安全要点，根据赛项自身特点，制定所需的安全保障措施：</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（一）赛项成立相应的安全管理机构负责本赛项筹备和比赛期间的各项安全工作，赛项执委会主任为第一责任人；</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（二）制定安全管理的相应规范、流程和突发事件应急预案，保证比赛筹备和实施工作全过程的安全；</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（三）赛项器材、设备符合国家有关安全规定；</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（四）赛项执委会在赛前对本赛项全体裁判员、工作人员进行安全培训；</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（五）赛项执委会制定专门方案保证比赛命题、赛题加密、赛题发布和系统评判过程的安全；</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（六）赛项执委会在赛前组织专人对比赛现场、住宿场所和交通保障进行考察，并对安全工作提出明确要求。赛场的布置，赛场内的器材、设备，应符合国家有关安全规定；</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（七）赛场周围设立警戒线，防止无关人员进入，发生意外事件。比赛现场内参照相关职业岗位的要求为选手提供必要的劳动保护和医务服务；</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（八）承办院校提供保障应急预案实施的条件，明确制度和预案，并配备急救人员与设施；</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（九）赛项执委会会同承办院校制定开放赛场和体验区的人员疏导方案。赛场环境中存在人员密集、车流人流交错的区域，除了设置齐全的指示标志外，增加引导人员，并开辟备用通道；</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（十）大赛期间，赛项承办院校在赛场管理的关键岗位，增加力量，建立安全管理日志；</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（十一）比赛期间安排的住宿地具有宾馆、住宿经营许可资质，保证住宿、卫生、饮食安全等；</w:t>
      </w:r>
    </w:p>
    <w:p>
      <w:pPr>
        <w:framePr w:w="0" w:wrap="auto" w:vAnchor="margin" w:hAnchor="text" w:yAlign="inline"/>
        <w:spacing w:line="500" w:lineRule="exact"/>
        <w:ind w:firstLine="560"/>
        <w:rPr>
          <w:rStyle w:val="19"/>
          <w:rFonts w:hint="eastAsia" w:ascii="仿宋" w:hAnsi="仿宋" w:eastAsia="仿宋" w:cs="仿宋"/>
          <w:lang w:val="zh-TW" w:eastAsia="zh-CN"/>
        </w:rPr>
      </w:pPr>
      <w:r>
        <w:rPr>
          <w:rStyle w:val="19"/>
          <w:rFonts w:ascii="仿宋" w:hAnsi="仿宋" w:eastAsia="仿宋" w:cs="仿宋"/>
          <w:lang w:val="zh-TW" w:eastAsia="zh-TW"/>
        </w:rPr>
        <w:t>（十二）比赛期间发生意外事故时，采取应急预案，避免事态扩大。</w:t>
      </w:r>
      <w:bookmarkEnd w:id="95"/>
      <w:bookmarkStart w:id="96" w:name="_Toc43"/>
    </w:p>
    <w:p>
      <w:pPr>
        <w:pStyle w:val="2"/>
        <w:framePr w:w="0" w:wrap="auto" w:vAnchor="margin" w:hAnchor="text" w:yAlign="inline"/>
        <w:numPr>
          <w:ilvl w:val="0"/>
          <w:numId w:val="0"/>
        </w:numPr>
        <w:bidi w:val="0"/>
        <w:ind w:leftChars="0" w:right="0" w:rightChars="0"/>
        <w:jc w:val="both"/>
        <w:rPr>
          <w:rStyle w:val="15"/>
          <w:rFonts w:hint="eastAsia" w:ascii="仿宋" w:hAnsi="仿宋" w:eastAsia="仿宋" w:cs="仿宋"/>
          <w:lang w:val="zh-TW" w:eastAsia="zh-CN"/>
        </w:rPr>
      </w:pPr>
    </w:p>
    <w:p>
      <w:pPr>
        <w:pStyle w:val="2"/>
        <w:framePr w:w="0" w:wrap="auto" w:vAnchor="margin" w:hAnchor="text" w:yAlign="inline"/>
        <w:numPr>
          <w:ilvl w:val="0"/>
          <w:numId w:val="0"/>
        </w:numPr>
        <w:bidi w:val="0"/>
        <w:ind w:leftChars="0" w:right="0" w:rightChars="0"/>
        <w:jc w:val="both"/>
        <w:rPr>
          <w:rStyle w:val="29"/>
          <w:b/>
          <w:bCs/>
          <w:lang w:val="zh-TW" w:eastAsia="zh-TW"/>
        </w:rPr>
      </w:pPr>
      <w:bookmarkStart w:id="97" w:name="_Toc22705"/>
      <w:r>
        <w:rPr>
          <w:rStyle w:val="15"/>
          <w:rFonts w:hint="eastAsia" w:ascii="仿宋" w:hAnsi="仿宋" w:eastAsia="仿宋" w:cs="仿宋"/>
          <w:lang w:val="zh-TW" w:eastAsia="zh-CN"/>
        </w:rPr>
        <w:t>十</w:t>
      </w:r>
      <w:r>
        <w:rPr>
          <w:rStyle w:val="29"/>
          <w:rFonts w:hint="eastAsia"/>
          <w:b/>
          <w:bCs/>
          <w:lang w:val="zh-TW" w:eastAsia="zh-CN"/>
        </w:rPr>
        <w:t>五、</w:t>
      </w:r>
      <w:r>
        <w:rPr>
          <w:rStyle w:val="29"/>
          <w:b/>
          <w:bCs/>
          <w:lang w:val="zh-TW" w:eastAsia="zh-TW"/>
        </w:rPr>
        <w:t>经费概算</w:t>
      </w:r>
      <w:bookmarkEnd w:id="96"/>
      <w:bookmarkEnd w:id="97"/>
    </w:p>
    <w:tbl>
      <w:tblPr>
        <w:tblStyle w:val="12"/>
        <w:tblW w:w="8300"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725"/>
        <w:gridCol w:w="1227"/>
        <w:gridCol w:w="5067"/>
        <w:gridCol w:w="1281"/>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kern w:val="0"/>
                <w:sz w:val="20"/>
              </w:rPr>
            </w:pPr>
            <w:bookmarkStart w:id="98" w:name="OLE_LINK19"/>
            <w:r>
              <w:rPr>
                <w:rStyle w:val="19"/>
                <w:rFonts w:hint="eastAsia" w:ascii="仿宋" w:hAnsi="仿宋" w:eastAsia="仿宋" w:cs="仿宋_GB2312"/>
                <w:kern w:val="0"/>
                <w:sz w:val="24"/>
                <w:szCs w:val="24"/>
                <w:lang w:val="zh-TW" w:eastAsia="zh-TW"/>
              </w:rPr>
              <w:t>序号</w:t>
            </w:r>
          </w:p>
        </w:tc>
        <w:tc>
          <w:tcPr>
            <w:tcW w:w="122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kern w:val="0"/>
                <w:sz w:val="20"/>
              </w:rPr>
            </w:pPr>
            <w:r>
              <w:rPr>
                <w:rStyle w:val="19"/>
                <w:rFonts w:hint="eastAsia" w:ascii="仿宋" w:hAnsi="仿宋" w:eastAsia="仿宋" w:cs="仿宋_GB2312"/>
                <w:kern w:val="0"/>
                <w:sz w:val="24"/>
                <w:szCs w:val="24"/>
                <w:lang w:val="zh-TW" w:eastAsia="zh-TW"/>
              </w:rPr>
              <w:t>项目阶段</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center"/>
              <w:rPr>
                <w:rFonts w:ascii="仿宋" w:hAnsi="仿宋" w:eastAsia="仿宋"/>
                <w:kern w:val="0"/>
                <w:sz w:val="20"/>
              </w:rPr>
            </w:pPr>
            <w:r>
              <w:rPr>
                <w:rStyle w:val="19"/>
                <w:rFonts w:hint="eastAsia" w:ascii="仿宋" w:hAnsi="仿宋" w:eastAsia="仿宋" w:cs="仿宋_GB2312"/>
                <w:kern w:val="0"/>
                <w:sz w:val="24"/>
                <w:szCs w:val="24"/>
                <w:lang w:val="zh-TW" w:eastAsia="zh-TW"/>
              </w:rPr>
              <w:t>资金用途</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kern w:val="0"/>
                <w:sz w:val="20"/>
              </w:rPr>
            </w:pPr>
            <w:r>
              <w:rPr>
                <w:rStyle w:val="19"/>
                <w:rFonts w:hint="eastAsia" w:ascii="仿宋" w:hAnsi="仿宋" w:eastAsia="仿宋" w:cs="仿宋_GB2312"/>
                <w:kern w:val="0"/>
                <w:sz w:val="24"/>
                <w:szCs w:val="24"/>
                <w:lang w:val="zh-TW" w:eastAsia="zh-TW"/>
              </w:rPr>
              <w:t>费用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ascii="仿宋" w:hAnsi="仿宋" w:eastAsia="仿宋" w:cs="仿宋"/>
                <w:kern w:val="0"/>
                <w:lang w:val="zh-TW" w:eastAsia="zh-TW"/>
              </w:rPr>
              <w:t>1</w:t>
            </w:r>
          </w:p>
        </w:tc>
        <w:tc>
          <w:tcPr>
            <w:tcW w:w="122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hint="eastAsia" w:ascii="仿宋" w:hAnsi="仿宋" w:eastAsia="仿宋" w:cs="仿宋"/>
                <w:kern w:val="0"/>
                <w:lang w:val="zh-TW" w:eastAsia="zh-TW"/>
              </w:rPr>
              <w:t>方案论证</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rPr>
              <w:t>竞赛方案研讨、</w:t>
            </w:r>
            <w:r>
              <w:rPr>
                <w:rStyle w:val="19"/>
                <w:rFonts w:hint="eastAsia" w:ascii="仿宋" w:hAnsi="仿宋" w:eastAsia="仿宋" w:cs="仿宋"/>
                <w:kern w:val="0"/>
                <w:lang w:val="zh-TW" w:eastAsia="zh-TW"/>
              </w:rPr>
              <w:t>论证会议</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eastAsia="zh-TW"/>
              </w:rPr>
              <w:t>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13" w:hRule="atLeast"/>
          <w:jc w:val="center"/>
        </w:trPr>
        <w:tc>
          <w:tcPr>
            <w:tcW w:w="725"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120"/>
              <w:jc w:val="center"/>
              <w:rPr>
                <w:rFonts w:ascii="仿宋" w:hAnsi="仿宋" w:eastAsia="仿宋" w:cs="仿宋"/>
                <w:kern w:val="0"/>
              </w:rPr>
            </w:pPr>
            <w:r>
              <w:rPr>
                <w:rStyle w:val="19"/>
                <w:rFonts w:ascii="仿宋" w:hAnsi="仿宋" w:eastAsia="仿宋" w:cs="仿宋"/>
                <w:kern w:val="0"/>
                <w:lang w:val="zh-TW" w:eastAsia="zh-TW"/>
              </w:rPr>
              <w:t>2</w:t>
            </w:r>
          </w:p>
        </w:tc>
        <w:tc>
          <w:tcPr>
            <w:tcW w:w="1227"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hint="eastAsia" w:ascii="仿宋" w:hAnsi="仿宋" w:eastAsia="仿宋" w:cs="仿宋"/>
                <w:kern w:val="0"/>
                <w:lang w:val="zh-TW" w:eastAsia="zh-TW"/>
              </w:rPr>
              <w:t>赛前准备</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rPr>
              <w:t>专家筹备会议、竞赛试题开发、裁判培训</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eastAsia="zh-TW"/>
              </w:rPr>
              <w:t>10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vMerge w:val="continue"/>
            <w:tcBorders>
              <w:top w:val="single" w:color="000000" w:sz="4" w:space="0"/>
              <w:left w:val="single" w:color="000000" w:sz="4" w:space="0"/>
              <w:bottom w:val="single" w:color="000000" w:sz="4" w:space="0"/>
              <w:right w:val="single" w:color="000000" w:sz="4" w:space="0"/>
            </w:tcBorders>
            <w:vAlign w:val="center"/>
          </w:tcPr>
          <w:p>
            <w:pPr>
              <w:framePr w:w="0" w:wrap="auto" w:vAnchor="margin" w:hAnchor="text" w:yAlign="inline"/>
              <w:jc w:val="center"/>
              <w:rPr>
                <w:rFonts w:ascii="仿宋" w:cs="仿宋"/>
                <w:kern w:val="0"/>
                <w:sz w:val="21"/>
                <w:szCs w:val="21"/>
              </w:rPr>
            </w:pPr>
          </w:p>
        </w:tc>
        <w:tc>
          <w:tcPr>
            <w:tcW w:w="1227" w:type="dxa"/>
            <w:vMerge w:val="continue"/>
            <w:tcBorders>
              <w:top w:val="single" w:color="000000" w:sz="4" w:space="0"/>
              <w:left w:val="single" w:color="000000" w:sz="4" w:space="0"/>
              <w:bottom w:val="single" w:color="000000" w:sz="4" w:space="0"/>
              <w:right w:val="single" w:color="000000" w:sz="4" w:space="0"/>
            </w:tcBorders>
            <w:vAlign w:val="center"/>
          </w:tcPr>
          <w:p>
            <w:pPr>
              <w:framePr w:w="0" w:wrap="auto" w:vAnchor="margin" w:hAnchor="text" w:yAlign="inline"/>
              <w:jc w:val="center"/>
              <w:rPr>
                <w:rFonts w:ascii="仿宋" w:cs="仿宋"/>
                <w:kern w:val="0"/>
                <w:sz w:val="21"/>
                <w:szCs w:val="21"/>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eastAsia="zh-TW"/>
              </w:rPr>
              <w:t>全国赛前说明会</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eastAsia="zh-TW"/>
              </w:rPr>
              <w:t>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vMerge w:val="restart"/>
            <w:tcBorders>
              <w:top w:val="single" w:color="000000" w:sz="4" w:space="0"/>
              <w:left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ascii="仿宋" w:hAnsi="仿宋" w:eastAsia="仿宋" w:cs="仿宋"/>
                <w:kern w:val="0"/>
                <w:lang w:val="zh-TW" w:eastAsia="zh-TW"/>
              </w:rPr>
              <w:t>3</w:t>
            </w:r>
          </w:p>
        </w:tc>
        <w:tc>
          <w:tcPr>
            <w:tcW w:w="1227" w:type="dxa"/>
            <w:vMerge w:val="restart"/>
            <w:tcBorders>
              <w:top w:val="single" w:color="000000" w:sz="4" w:space="0"/>
              <w:left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hint="eastAsia" w:ascii="仿宋" w:hAnsi="仿宋" w:eastAsia="仿宋" w:cs="仿宋"/>
                <w:kern w:val="0"/>
                <w:lang w:val="zh-TW" w:eastAsia="zh-TW"/>
              </w:rPr>
              <w:t>比赛现场</w:t>
            </w: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eastAsia="zh-TW"/>
              </w:rPr>
              <w:t>竞赛设备</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hint="eastAsia" w:ascii="仿宋" w:hAnsi="仿宋" w:eastAsia="仿宋" w:cs="仿宋"/>
                <w:kern w:val="0"/>
                <w:lang w:val="zh-TW" w:eastAsia="zh-TW"/>
              </w:rPr>
              <w:t>厂商提供</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1227"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eastAsia="zh-TW"/>
              </w:rPr>
              <w:t>设备运输、安装调试</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eastAsia="zh-TW"/>
              </w:rPr>
              <w:t>15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13" w:hRule="atLeast"/>
          <w:jc w:val="center"/>
        </w:trPr>
        <w:tc>
          <w:tcPr>
            <w:tcW w:w="725"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1227"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rPr>
              <w:t>参赛队伍、</w:t>
            </w:r>
            <w:r>
              <w:rPr>
                <w:rStyle w:val="19"/>
                <w:rFonts w:hint="eastAsia" w:ascii="仿宋" w:hAnsi="仿宋" w:eastAsia="仿宋" w:cs="仿宋"/>
                <w:kern w:val="0"/>
                <w:lang w:val="zh-TW" w:eastAsia="zh-TW"/>
              </w:rPr>
              <w:t>专家、监考和裁判、现场技术支持、后勤保障</w:t>
            </w:r>
            <w:r>
              <w:rPr>
                <w:rStyle w:val="19"/>
                <w:rFonts w:hint="eastAsia" w:ascii="仿宋" w:hAnsi="仿宋" w:eastAsia="仿宋" w:cs="仿宋"/>
                <w:kern w:val="0"/>
                <w:lang w:val="zh-TW"/>
              </w:rPr>
              <w:t>竞赛现场用餐、服务费用</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eastAsia="zh-TW"/>
              </w:rPr>
              <w:t>2</w:t>
            </w:r>
            <w:r>
              <w:rPr>
                <w:rStyle w:val="19"/>
                <w:rFonts w:ascii="仿宋" w:hAnsi="仿宋" w:eastAsia="仿宋" w:cs="仿宋"/>
                <w:kern w:val="0"/>
                <w:lang w:val="zh-TW"/>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1227"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eastAsia="zh-TW"/>
              </w:rPr>
              <w:t>赛场布置、场地设施改造</w:t>
            </w:r>
            <w:r>
              <w:rPr>
                <w:rStyle w:val="19"/>
                <w:rFonts w:hint="eastAsia" w:ascii="仿宋" w:hAnsi="仿宋" w:eastAsia="仿宋" w:cs="仿宋"/>
                <w:kern w:val="0"/>
                <w:lang w:val="zh-TW"/>
              </w:rPr>
              <w:t>、技术体验等</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rPr>
              <w:t>15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1227"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eastAsia="zh-TW"/>
              </w:rPr>
              <w:t>参赛选手奖品</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rPr>
              <w:t>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1227"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eastAsia="zh-TW"/>
              </w:rPr>
              <w:t>竞赛指南印刷、选手服装等</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eastAsia="zh-TW"/>
              </w:rPr>
              <w:t>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1227" w:type="dxa"/>
            <w:vMerge w:val="continue"/>
            <w:tcBorders>
              <w:left w:val="single" w:color="000000" w:sz="4" w:space="0"/>
              <w:right w:val="single" w:color="000000" w:sz="4" w:space="0"/>
            </w:tcBorders>
          </w:tcPr>
          <w:p>
            <w:pPr>
              <w:framePr w:w="0" w:wrap="auto" w:vAnchor="margin" w:hAnchor="text" w:yAlign="inline"/>
              <w:rPr>
                <w:rFonts w:ascii="仿宋" w:cs="仿宋"/>
                <w:kern w:val="0"/>
                <w:sz w:val="21"/>
                <w:szCs w:val="21"/>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Fonts w:ascii="仿宋" w:hAnsi="仿宋" w:eastAsia="仿宋" w:cs="仿宋"/>
                <w:kern w:val="0"/>
              </w:rPr>
            </w:pPr>
            <w:r>
              <w:rPr>
                <w:rStyle w:val="19"/>
                <w:rFonts w:hint="eastAsia" w:ascii="仿宋" w:hAnsi="仿宋" w:eastAsia="仿宋" w:cs="仿宋"/>
                <w:kern w:val="0"/>
                <w:lang w:val="zh-TW" w:eastAsia="zh-TW"/>
              </w:rPr>
              <w:t>竞赛现场办公文具、耗材等</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eastAsia="zh-TW"/>
              </w:rPr>
              <w:t>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25" w:type="dxa"/>
            <w:vMerge w:val="continue"/>
            <w:tcBorders>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c>
          <w:tcPr>
            <w:tcW w:w="1227" w:type="dxa"/>
            <w:vMerge w:val="continue"/>
            <w:tcBorders>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c>
          <w:tcPr>
            <w:tcW w:w="50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jc w:val="left"/>
              <w:rPr>
                <w:rStyle w:val="19"/>
                <w:rFonts w:ascii="仿宋" w:hAnsi="仿宋" w:eastAsia="仿宋" w:cs="仿宋"/>
                <w:kern w:val="0"/>
                <w:lang w:val="zh-TW"/>
              </w:rPr>
            </w:pPr>
            <w:r>
              <w:rPr>
                <w:rStyle w:val="19"/>
                <w:rFonts w:hint="eastAsia" w:ascii="仿宋" w:hAnsi="仿宋" w:eastAsia="仿宋" w:cs="仿宋"/>
                <w:kern w:val="0"/>
                <w:lang w:val="zh-TW" w:eastAsia="zh-TW"/>
              </w:rPr>
              <w:t>预留突发事件备用预算</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Style w:val="19"/>
                <w:rFonts w:ascii="仿宋" w:hAnsi="仿宋" w:eastAsia="仿宋" w:cs="仿宋"/>
                <w:kern w:val="0"/>
                <w:lang w:val="zh-TW"/>
              </w:rPr>
            </w:pPr>
            <w:r>
              <w:rPr>
                <w:rStyle w:val="19"/>
                <w:rFonts w:ascii="仿宋" w:hAnsi="仿宋" w:eastAsia="仿宋" w:cs="仿宋"/>
                <w:kern w:val="0"/>
                <w:lang w:val="zh-TW"/>
              </w:rPr>
              <w:t>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7019" w:type="dxa"/>
            <w:gridSpan w:val="3"/>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hint="eastAsia" w:ascii="仿宋" w:hAnsi="仿宋" w:eastAsia="仿宋" w:cs="仿宋"/>
                <w:kern w:val="0"/>
                <w:lang w:val="zh-TW" w:eastAsia="zh-TW"/>
              </w:rPr>
              <w:t>小计</w:t>
            </w:r>
            <w:r>
              <w:rPr>
                <w:rStyle w:val="19"/>
                <w:rFonts w:ascii="仿宋" w:hAnsi="仿宋" w:eastAsia="仿宋" w:cs="仿宋"/>
                <w:kern w:val="0"/>
                <w:lang w:val="zh-TW" w:eastAsia="zh-TW"/>
              </w:rPr>
              <w:t>(</w:t>
            </w:r>
            <w:r>
              <w:rPr>
                <w:rStyle w:val="19"/>
                <w:rFonts w:hint="eastAsia" w:ascii="仿宋" w:hAnsi="仿宋" w:eastAsia="仿宋" w:cs="仿宋"/>
                <w:kern w:val="0"/>
                <w:lang w:val="zh-TW" w:eastAsia="zh-TW"/>
              </w:rPr>
              <w:t>单位：万元</w:t>
            </w:r>
            <w:r>
              <w:rPr>
                <w:rStyle w:val="19"/>
                <w:rFonts w:ascii="仿宋" w:hAnsi="仿宋" w:eastAsia="仿宋" w:cs="仿宋"/>
                <w:kern w:val="0"/>
                <w:lang w:val="zh-TW" w:eastAsia="zh-TW"/>
              </w:rPr>
              <w:t>)</w:t>
            </w:r>
          </w:p>
        </w:tc>
        <w:tc>
          <w:tcPr>
            <w:tcW w:w="128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8"/>
              <w:framePr w:w="0" w:wrap="auto" w:vAnchor="margin" w:hAnchor="text" w:yAlign="inline"/>
              <w:jc w:val="center"/>
              <w:rPr>
                <w:rFonts w:ascii="仿宋" w:hAnsi="仿宋" w:eastAsia="仿宋" w:cs="仿宋"/>
                <w:kern w:val="0"/>
              </w:rPr>
            </w:pPr>
            <w:r>
              <w:rPr>
                <w:rStyle w:val="19"/>
                <w:rFonts w:ascii="仿宋" w:hAnsi="仿宋" w:eastAsia="仿宋" w:cs="仿宋"/>
                <w:kern w:val="0"/>
                <w:lang w:val="zh-TW"/>
              </w:rPr>
              <w:t>85</w:t>
            </w:r>
          </w:p>
        </w:tc>
      </w:tr>
      <w:bookmarkEnd w:id="98"/>
    </w:tbl>
    <w:p>
      <w:pPr>
        <w:pStyle w:val="2"/>
        <w:framePr w:w="0" w:wrap="auto" w:vAnchor="margin" w:hAnchor="text" w:yAlign="inline"/>
        <w:numPr>
          <w:ilvl w:val="0"/>
          <w:numId w:val="0"/>
        </w:numPr>
        <w:spacing w:line="240" w:lineRule="auto"/>
        <w:ind w:leftChars="0" w:right="0" w:rightChars="0"/>
        <w:jc w:val="both"/>
        <w:rPr>
          <w:lang w:val="zh-TW" w:eastAsia="zh-TW"/>
        </w:rPr>
      </w:pPr>
    </w:p>
    <w:p>
      <w:pPr>
        <w:pStyle w:val="2"/>
        <w:keepNext/>
        <w:keepLines/>
        <w:pageBreakBefore w:val="0"/>
        <w:framePr w:w="0" w:wrap="auto" w:vAnchor="margin" w:hAnchor="text" w:yAlign="inline"/>
        <w:widowControl w:val="0"/>
        <w:numPr>
          <w:ilvl w:val="0"/>
          <w:numId w:val="0"/>
        </w:numPr>
        <w:kinsoku/>
        <w:wordWrap/>
        <w:overflowPunct/>
        <w:topLinePunct w:val="0"/>
        <w:autoSpaceDE/>
        <w:autoSpaceDN/>
        <w:bidi w:val="0"/>
        <w:adjustRightInd/>
        <w:snapToGrid/>
        <w:spacing w:before="340" w:after="0" w:line="579" w:lineRule="auto"/>
        <w:ind w:left="0" w:leftChars="0" w:right="0" w:rightChars="0" w:firstLine="0" w:firstLineChars="0"/>
        <w:jc w:val="both"/>
        <w:textAlignment w:val="auto"/>
        <w:outlineLvl w:val="0"/>
        <w:rPr>
          <w:rStyle w:val="15"/>
          <w:rFonts w:ascii="仿宋" w:hAnsi="仿宋" w:eastAsia="仿宋" w:cs="仿宋"/>
          <w:lang w:val="zh-TW" w:eastAsia="zh-TW"/>
        </w:rPr>
      </w:pPr>
      <w:bookmarkStart w:id="99" w:name="_Toc44"/>
      <w:bookmarkStart w:id="100" w:name="_Toc3441"/>
      <w:r>
        <w:rPr>
          <w:rStyle w:val="15"/>
          <w:rFonts w:hint="eastAsia" w:ascii="仿宋" w:hAnsi="仿宋" w:eastAsia="仿宋" w:cs="仿宋"/>
          <w:lang w:val="zh-TW" w:eastAsia="zh-CN"/>
        </w:rPr>
        <w:t>十</w:t>
      </w:r>
      <w:r>
        <w:rPr>
          <w:rStyle w:val="29"/>
          <w:rFonts w:hint="eastAsia"/>
          <w:b/>
          <w:bCs/>
          <w:lang w:val="zh-TW" w:eastAsia="zh-CN"/>
        </w:rPr>
        <w:t>六、</w:t>
      </w:r>
      <w:r>
        <w:rPr>
          <w:rStyle w:val="29"/>
          <w:b/>
          <w:bCs/>
          <w:lang w:val="zh-TW" w:eastAsia="zh-TW"/>
        </w:rPr>
        <w:t>比赛组织与管理</w:t>
      </w:r>
      <w:bookmarkEnd w:id="99"/>
      <w:bookmarkEnd w:id="100"/>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（一）组织保障：成立赛项执行委员会、赛项专家组，落实赛项承办院校。以上赛项组织机构经大赛执委会核准发文后成立；</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三）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四）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五）现场裁判、仲裁、监督组：开赛前一周，在裁判员库、仲裁员库、监督员库中随机抽取组成。裁判组负责赛前检查及赛场鉴定、现场执裁和评审比赛结果等工作；仲裁组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（六）协办企业：提供竞赛现场设备并设置技术保障组，为竞赛设备、软件与竞赛设施提供保养、维修等服务，保障设备的完好性和正常使用，保障设备配件与操作工具的及时供应。</w:t>
      </w:r>
    </w:p>
    <w:p>
      <w:pPr>
        <w:pStyle w:val="2"/>
        <w:keepNext/>
        <w:keepLines/>
        <w:pageBreakBefore w:val="0"/>
        <w:framePr w:w="0" w:wrap="auto" w:vAnchor="margin" w:hAnchor="text" w:yAlign="inline"/>
        <w:widowControl w:val="0"/>
        <w:numPr>
          <w:ilvl w:val="0"/>
          <w:numId w:val="0"/>
        </w:numPr>
        <w:kinsoku/>
        <w:wordWrap/>
        <w:overflowPunct/>
        <w:topLinePunct w:val="0"/>
        <w:autoSpaceDE/>
        <w:autoSpaceDN/>
        <w:bidi w:val="0"/>
        <w:adjustRightInd/>
        <w:snapToGrid/>
        <w:spacing w:before="340" w:after="0" w:line="579" w:lineRule="auto"/>
        <w:ind w:left="0" w:leftChars="0" w:right="0" w:rightChars="0" w:firstLine="0" w:firstLineChars="0"/>
        <w:jc w:val="both"/>
        <w:textAlignment w:val="auto"/>
        <w:outlineLvl w:val="0"/>
        <w:rPr>
          <w:rStyle w:val="15"/>
          <w:rFonts w:ascii="仿宋" w:hAnsi="仿宋" w:eastAsia="仿宋" w:cs="仿宋"/>
          <w:lang w:val="zh-TW" w:eastAsia="zh-TW"/>
        </w:rPr>
      </w:pPr>
      <w:bookmarkStart w:id="101" w:name="_Toc12998"/>
      <w:bookmarkStart w:id="102" w:name="_Toc45"/>
      <w:r>
        <w:rPr>
          <w:rStyle w:val="15"/>
          <w:rFonts w:hint="eastAsia" w:ascii="仿宋" w:hAnsi="仿宋" w:eastAsia="仿宋" w:cs="仿宋"/>
          <w:lang w:val="zh-TW" w:eastAsia="zh-CN"/>
        </w:rPr>
        <w:t>十</w:t>
      </w:r>
      <w:r>
        <w:rPr>
          <w:rStyle w:val="29"/>
          <w:rFonts w:hint="eastAsia"/>
          <w:b/>
          <w:bCs/>
          <w:lang w:val="zh-TW" w:eastAsia="zh-CN"/>
        </w:rPr>
        <w:t>七、</w:t>
      </w:r>
      <w:r>
        <w:rPr>
          <w:rStyle w:val="29"/>
          <w:b/>
          <w:bCs/>
          <w:lang w:val="zh-TW" w:eastAsia="zh-TW"/>
        </w:rPr>
        <w:t>教学资源转化建设方案</w:t>
      </w:r>
      <w:bookmarkEnd w:id="101"/>
      <w:bookmarkEnd w:id="102"/>
    </w:p>
    <w:p>
      <w:pPr>
        <w:framePr w:w="0" w:wrap="auto" w:vAnchor="margin" w:hAnchor="text" w:yAlign="inline"/>
        <w:spacing w:line="500" w:lineRule="exact"/>
        <w:ind w:firstLine="560"/>
      </w:pPr>
      <w:r>
        <w:rPr>
          <w:rStyle w:val="19"/>
          <w:rFonts w:ascii="仿宋" w:hAnsi="仿宋" w:eastAsia="仿宋" w:cs="仿宋"/>
          <w:lang w:val="zh-TW" w:eastAsia="zh-TW"/>
        </w:rPr>
        <w:t>为更好通过技能竞赛响应新技术革命和产业结构调整的需求，推进</w:t>
      </w:r>
      <w:r>
        <w:rPr>
          <w:rStyle w:val="14"/>
          <w:lang w:val="en-US"/>
        </w:rPr>
        <w:t>“</w:t>
      </w:r>
      <w:r>
        <w:rPr>
          <w:rStyle w:val="19"/>
          <w:rFonts w:ascii="仿宋" w:hAnsi="仿宋" w:eastAsia="仿宋" w:cs="仿宋"/>
          <w:lang w:val="zh-TW" w:eastAsia="zh-TW"/>
        </w:rPr>
        <w:t>光伏工程技术</w:t>
      </w:r>
      <w:r>
        <w:rPr>
          <w:rStyle w:val="14"/>
          <w:lang w:val="en-US"/>
        </w:rPr>
        <w:t>”</w:t>
      </w:r>
      <w:r>
        <w:rPr>
          <w:rStyle w:val="19"/>
          <w:rFonts w:ascii="仿宋" w:hAnsi="仿宋" w:eastAsia="仿宋" w:cs="仿宋"/>
          <w:lang w:val="zh-TW" w:eastAsia="zh-TW"/>
        </w:rPr>
        <w:t>等战略新兴产业新能源领域专业的建设与发展，实现锻炼学生、引发思想、助推产业、打造平台，加快新能源产业的产学研融合与交流，推进能源技术的创新发展和深度应用的赛项目的，为此制定了竞赛教学资源转化建设方案：</w:t>
      </w:r>
    </w:p>
    <w:p>
      <w:pPr>
        <w:framePr w:w="0" w:wrap="auto" w:vAnchor="margin" w:hAnchor="text" w:yAlign="inline"/>
        <w:spacing w:line="500" w:lineRule="exact"/>
        <w:ind w:firstLine="560"/>
      </w:pPr>
      <w:r>
        <w:rPr>
          <w:rStyle w:val="19"/>
          <w:rFonts w:ascii="仿宋" w:hAnsi="仿宋" w:eastAsia="仿宋" w:cs="仿宋"/>
          <w:lang w:val="zh-TW" w:eastAsia="zh-TW"/>
        </w:rPr>
        <w:t>（一）成立新能源产学联盟：以赛事为契机，形成政府、高校、企业、非盈利组织的多方交流与合作平台，带动民众对于新能源的关注与重视，引发新能源及相关领域创新的思想火花，推动区域战略性新兴产业的发展</w:t>
      </w:r>
      <w:r>
        <w:rPr>
          <w:rStyle w:val="14"/>
          <w:lang w:val="en-US"/>
        </w:rPr>
        <w:t>,</w:t>
      </w:r>
      <w:r>
        <w:rPr>
          <w:rStyle w:val="19"/>
          <w:rFonts w:ascii="仿宋" w:hAnsi="仿宋" w:eastAsia="仿宋" w:cs="仿宋"/>
          <w:lang w:val="zh-TW" w:eastAsia="zh-TW"/>
        </w:rPr>
        <w:t>促进新能源领域专业建设与发展；同时将大赛成果与行业应用紧密对接，转化为可在实际工程案例中实施的实际新能源技术应用项目，产生直接的经济效应和社会；</w:t>
      </w:r>
    </w:p>
    <w:p>
      <w:pPr>
        <w:framePr w:w="0" w:wrap="auto" w:vAnchor="margin" w:hAnchor="text" w:yAlign="inline"/>
        <w:spacing w:line="500" w:lineRule="exact"/>
        <w:ind w:firstLine="560"/>
      </w:pPr>
      <w:r>
        <w:rPr>
          <w:rStyle w:val="14"/>
          <w:rFonts w:hint="eastAsia" w:eastAsia="仿宋"/>
          <w:lang w:val="en-US" w:eastAsia="zh-CN"/>
        </w:rPr>
        <w:t>（二）</w:t>
      </w:r>
      <w:r>
        <w:rPr>
          <w:rStyle w:val="19"/>
          <w:rFonts w:ascii="仿宋" w:hAnsi="仿宋" w:eastAsia="仿宋" w:cs="仿宋"/>
          <w:lang w:val="zh-TW" w:eastAsia="zh-TW"/>
        </w:rPr>
        <w:t>参与专业建设规范开发，投入课程标准建设：通过赛事引导效应，组织参与专业建设规范开发，，组织大赛成果专题研讨交流会，更好的为全国新能源领域专业建设服务；</w:t>
      </w:r>
    </w:p>
    <w:p>
      <w:pPr>
        <w:framePr w:w="0" w:wrap="auto" w:vAnchor="margin" w:hAnchor="text" w:yAlign="inline"/>
        <w:spacing w:line="500" w:lineRule="exact"/>
        <w:rPr>
          <w:rStyle w:val="19"/>
        </w:rPr>
      </w:pPr>
      <w:r>
        <w:rPr>
          <w:rStyle w:val="19"/>
          <w:rFonts w:hint="eastAsia" w:ascii="仿宋" w:hAnsi="仿宋" w:eastAsia="仿宋" w:cs="仿宋"/>
          <w:lang w:val="en-US" w:eastAsia="zh-CN"/>
        </w:rPr>
        <w:t xml:space="preserve">    </w:t>
      </w:r>
      <w:r>
        <w:rPr>
          <w:rStyle w:val="19"/>
          <w:rFonts w:ascii="仿宋" w:hAnsi="仿宋" w:eastAsia="仿宋" w:cs="仿宋"/>
          <w:lang w:val="zh-TW" w:eastAsia="zh-TW"/>
        </w:rPr>
        <w:t>（三）组织教学资源建设：将赛项题库、实训教程、企业案例等转换为资源库基础素材，并为此为基础建设基于云平台的教学资源体系，为全国院校提供一个</w:t>
      </w:r>
      <w:r>
        <w:rPr>
          <w:rStyle w:val="19"/>
          <w:lang w:val="zh-TW" w:eastAsia="zh-TW"/>
        </w:rPr>
        <w:t>新能源专业领域</w:t>
      </w:r>
      <w:r>
        <w:rPr>
          <w:rStyle w:val="19"/>
          <w:rFonts w:ascii="仿宋" w:hAnsi="仿宋" w:eastAsia="仿宋" w:cs="仿宋"/>
          <w:lang w:val="zh-TW" w:eastAsia="zh-TW"/>
        </w:rPr>
        <w:t>共有的资源库，实时分享教学优质资源；</w:t>
      </w:r>
    </w:p>
    <w:p>
      <w:pPr>
        <w:framePr w:w="0" w:wrap="auto" w:vAnchor="margin" w:hAnchor="text" w:yAlign="inline"/>
        <w:spacing w:line="500" w:lineRule="exact"/>
        <w:ind w:firstLine="560"/>
        <w:rPr>
          <w:rStyle w:val="19"/>
          <w:rFonts w:ascii="仿宋" w:hAnsi="仿宋" w:eastAsia="仿宋" w:cs="仿宋"/>
        </w:rPr>
      </w:pPr>
      <w:r>
        <w:rPr>
          <w:rStyle w:val="19"/>
          <w:rFonts w:ascii="仿宋" w:hAnsi="仿宋" w:eastAsia="仿宋" w:cs="仿宋"/>
          <w:lang w:val="zh-TW" w:eastAsia="zh-TW"/>
        </w:rPr>
        <w:t>（四）师资培训：借助</w:t>
      </w:r>
      <w:r>
        <w:rPr>
          <w:rStyle w:val="14"/>
          <w:lang w:val="en-US"/>
        </w:rPr>
        <w:t>“</w:t>
      </w:r>
      <w:r>
        <w:rPr>
          <w:rStyle w:val="19"/>
          <w:rFonts w:ascii="仿宋" w:hAnsi="仿宋" w:eastAsia="仿宋" w:cs="仿宋"/>
          <w:lang w:val="zh-TW" w:eastAsia="zh-TW"/>
        </w:rPr>
        <w:t>光伏工程技术</w:t>
      </w:r>
      <w:r>
        <w:rPr>
          <w:rStyle w:val="14"/>
          <w:lang w:val="en-US"/>
        </w:rPr>
        <w:t>”</w:t>
      </w:r>
      <w:r>
        <w:rPr>
          <w:rStyle w:val="19"/>
          <w:rFonts w:ascii="仿宋" w:hAnsi="仿宋" w:eastAsia="仿宋" w:cs="仿宋"/>
          <w:lang w:val="zh-TW" w:eastAsia="zh-TW"/>
        </w:rPr>
        <w:t>、</w:t>
      </w:r>
      <w:r>
        <w:rPr>
          <w:rStyle w:val="14"/>
          <w:lang w:val="en-US"/>
        </w:rPr>
        <w:t>“</w:t>
      </w:r>
      <w:r>
        <w:rPr>
          <w:rStyle w:val="19"/>
          <w:rFonts w:ascii="仿宋" w:hAnsi="仿宋" w:eastAsia="仿宋" w:cs="仿宋"/>
          <w:lang w:val="zh-TW" w:eastAsia="zh-TW"/>
        </w:rPr>
        <w:t>新能源电子技术</w:t>
      </w:r>
      <w:r>
        <w:rPr>
          <w:rStyle w:val="14"/>
          <w:lang w:val="en-US"/>
        </w:rPr>
        <w:t>”</w:t>
      </w:r>
      <w:r>
        <w:rPr>
          <w:rStyle w:val="19"/>
          <w:rFonts w:ascii="仿宋" w:hAnsi="仿宋" w:eastAsia="仿宋" w:cs="仿宋"/>
          <w:lang w:val="zh-TW" w:eastAsia="zh-TW"/>
        </w:rPr>
        <w:t>等新能源领域相关专业培训的有效方式推广成果。由学校与企业共育新能源及相关领域师资，师资培训的机会，推广大赛的成果；以切实转变新兴专业的教学理念，促进人才培养模式创新。</w:t>
      </w:r>
    </w:p>
    <w:p>
      <w:pPr>
        <w:framePr w:w="0" w:wrap="auto" w:vAnchor="margin" w:hAnchor="text" w:yAlign="inline"/>
        <w:spacing w:line="500" w:lineRule="exact"/>
        <w:ind w:firstLine="560"/>
        <w:rPr>
          <w:lang w:val="zh-TW" w:eastAsia="zh-TW"/>
        </w:rPr>
      </w:pPr>
      <w:r>
        <w:rPr>
          <w:rStyle w:val="19"/>
          <w:rFonts w:ascii="仿宋" w:hAnsi="仿宋" w:eastAsia="仿宋" w:cs="仿宋"/>
          <w:lang w:val="zh-TW" w:eastAsia="zh-TW"/>
        </w:rPr>
        <w:t>（五）积极推进光伏工程及新能源技术与应用的国际交流平台建立，通过技能大赛的举办，邀请境外、发展中国家院校参与，形成良好的交流机制；同时将经大赛资源转换而形成的具有前瞻性适用性的系列专业开发及资源建设体系化、标准化，通过平台承接多部委的总体外交工作安排，如科技部的“发展中国家技术培训”，积极落实国家领导人在国际新能源领域开展合作的承诺，从赛项举办、赛项资源转化多方面深度实现赛项的国际化。</w:t>
      </w:r>
    </w:p>
    <w:p>
      <w:pPr>
        <w:pStyle w:val="2"/>
        <w:framePr w:w="0" w:wrap="auto" w:vAnchor="margin" w:hAnchor="text" w:yAlign="inline"/>
        <w:numPr>
          <w:ilvl w:val="0"/>
          <w:numId w:val="0"/>
        </w:numPr>
        <w:bidi w:val="0"/>
        <w:ind w:leftChars="0" w:right="0" w:rightChars="0"/>
        <w:jc w:val="both"/>
        <w:rPr>
          <w:rStyle w:val="15"/>
          <w:rFonts w:ascii="仿宋" w:hAnsi="仿宋" w:eastAsia="仿宋" w:cs="仿宋"/>
          <w:lang w:val="zh-TW" w:eastAsia="zh-TW"/>
        </w:rPr>
      </w:pPr>
      <w:bookmarkStart w:id="103" w:name="_Toc22458"/>
      <w:bookmarkStart w:id="104" w:name="_Toc46"/>
      <w:r>
        <w:rPr>
          <w:rStyle w:val="15"/>
          <w:rFonts w:hint="eastAsia" w:ascii="仿宋" w:hAnsi="仿宋" w:eastAsia="仿宋" w:cs="仿宋"/>
          <w:lang w:val="zh-TW" w:eastAsia="zh-CN"/>
        </w:rPr>
        <w:t>十</w:t>
      </w:r>
      <w:r>
        <w:rPr>
          <w:rStyle w:val="29"/>
          <w:rFonts w:hint="eastAsia"/>
          <w:b/>
          <w:bCs/>
          <w:lang w:val="zh-TW" w:eastAsia="zh-CN"/>
        </w:rPr>
        <w:t>八、</w:t>
      </w:r>
      <w:r>
        <w:rPr>
          <w:rStyle w:val="29"/>
          <w:b/>
          <w:bCs/>
          <w:lang w:val="zh-TW" w:eastAsia="zh-TW"/>
        </w:rPr>
        <w:t>筹备工作进度时间表</w:t>
      </w:r>
      <w:bookmarkEnd w:id="103"/>
      <w:bookmarkEnd w:id="104"/>
    </w:p>
    <w:tbl>
      <w:tblPr>
        <w:tblStyle w:val="12"/>
        <w:tblW w:w="9362"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649"/>
        <w:gridCol w:w="1559"/>
        <w:gridCol w:w="5169"/>
        <w:gridCol w:w="198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07" w:hRule="exact"/>
        </w:trPr>
        <w:tc>
          <w:tcPr>
            <w:tcW w:w="64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b/>
                <w:kern w:val="0"/>
                <w:sz w:val="24"/>
                <w:szCs w:val="24"/>
              </w:rPr>
            </w:pPr>
            <w:bookmarkStart w:id="105" w:name="OLE_LINK20"/>
            <w:r>
              <w:rPr>
                <w:rStyle w:val="19"/>
                <w:rFonts w:hint="eastAsia" w:ascii="仿宋" w:hAnsi="仿宋" w:eastAsia="仿宋" w:cs="仿宋_GB2312"/>
                <w:b/>
                <w:kern w:val="0"/>
                <w:sz w:val="24"/>
                <w:szCs w:val="24"/>
                <w:lang w:val="zh-TW" w:eastAsia="zh-TW"/>
              </w:rPr>
              <w:t>序号</w:t>
            </w:r>
          </w:p>
        </w:tc>
        <w:tc>
          <w:tcPr>
            <w:tcW w:w="155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b/>
                <w:kern w:val="0"/>
                <w:sz w:val="24"/>
                <w:szCs w:val="24"/>
              </w:rPr>
            </w:pPr>
            <w:r>
              <w:rPr>
                <w:rStyle w:val="19"/>
                <w:rFonts w:hint="eastAsia" w:ascii="仿宋" w:hAnsi="仿宋" w:eastAsia="仿宋" w:cs="仿宋_GB2312"/>
                <w:b/>
                <w:kern w:val="0"/>
                <w:sz w:val="24"/>
                <w:szCs w:val="24"/>
                <w:lang w:val="zh-TW" w:eastAsia="zh-TW"/>
              </w:rPr>
              <w:t>筹备阶段</w:t>
            </w: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jc w:val="center"/>
              <w:rPr>
                <w:rFonts w:ascii="仿宋" w:hAnsi="仿宋" w:eastAsia="仿宋"/>
                <w:b/>
                <w:kern w:val="0"/>
                <w:sz w:val="24"/>
                <w:szCs w:val="24"/>
              </w:rPr>
            </w:pPr>
            <w:r>
              <w:rPr>
                <w:rStyle w:val="19"/>
                <w:rFonts w:hint="eastAsia" w:ascii="仿宋" w:hAnsi="仿宋" w:eastAsia="仿宋" w:cs="仿宋_GB2312"/>
                <w:b/>
                <w:kern w:val="0"/>
                <w:sz w:val="24"/>
                <w:szCs w:val="24"/>
                <w:lang w:val="zh-TW" w:eastAsia="zh-TW"/>
              </w:rPr>
              <w:t>内容</w:t>
            </w:r>
          </w:p>
        </w:tc>
        <w:tc>
          <w:tcPr>
            <w:tcW w:w="198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b/>
                <w:kern w:val="0"/>
                <w:sz w:val="24"/>
                <w:szCs w:val="24"/>
              </w:rPr>
            </w:pPr>
            <w:r>
              <w:rPr>
                <w:rStyle w:val="19"/>
                <w:rFonts w:hint="eastAsia" w:ascii="仿宋" w:hAnsi="仿宋" w:eastAsia="仿宋" w:cs="仿宋_GB2312"/>
                <w:b/>
                <w:kern w:val="0"/>
                <w:sz w:val="24"/>
                <w:szCs w:val="24"/>
                <w:lang w:val="zh-TW" w:eastAsia="zh-TW"/>
              </w:rPr>
              <w:t>时间安排</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ascii="仿宋" w:hAnsi="仿宋" w:eastAsia="仿宋" w:cs="仿宋"/>
                <w:kern w:val="0"/>
              </w:rPr>
              <w:t>1</w:t>
            </w:r>
          </w:p>
        </w:tc>
        <w:tc>
          <w:tcPr>
            <w:tcW w:w="155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hint="eastAsia" w:ascii="仿宋" w:hAnsi="仿宋" w:eastAsia="仿宋" w:cs="仿宋"/>
                <w:kern w:val="0"/>
                <w:lang w:val="zh-TW" w:eastAsia="zh-TW"/>
              </w:rPr>
              <w:t>申报、立项</w:t>
            </w: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赛项设计专家研讨会，完成赛项申报方案</w:t>
            </w:r>
          </w:p>
        </w:tc>
        <w:tc>
          <w:tcPr>
            <w:tcW w:w="198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仿宋" w:hAnsi="仿宋" w:eastAsia="仿宋" w:cs="仿宋"/>
                <w:kern w:val="0"/>
              </w:rPr>
            </w:pPr>
            <w:r>
              <w:rPr>
                <w:rStyle w:val="19"/>
                <w:rFonts w:ascii="仿宋" w:hAnsi="仿宋" w:eastAsia="仿宋" w:cs="仿宋"/>
                <w:kern w:val="0"/>
              </w:rPr>
              <w:t>2016</w:t>
            </w:r>
            <w:r>
              <w:rPr>
                <w:rStyle w:val="19"/>
                <w:rFonts w:hint="eastAsia" w:ascii="仿宋" w:hAnsi="仿宋" w:eastAsia="仿宋" w:cs="仿宋"/>
                <w:kern w:val="0"/>
                <w:lang w:val="zh-TW" w:eastAsia="zh-TW"/>
              </w:rPr>
              <w:t>年</w:t>
            </w:r>
            <w:r>
              <w:rPr>
                <w:rStyle w:val="19"/>
                <w:rFonts w:ascii="仿宋" w:hAnsi="仿宋" w:eastAsia="仿宋" w:cs="仿宋"/>
                <w:kern w:val="0"/>
              </w:rPr>
              <w:t>8</w:t>
            </w:r>
            <w:r>
              <w:rPr>
                <w:rStyle w:val="19"/>
                <w:rFonts w:hint="eastAsia" w:ascii="仿宋" w:hAnsi="仿宋" w:eastAsia="仿宋" w:cs="仿宋"/>
                <w:kern w:val="0"/>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jc w:val="center"/>
              <w:rPr>
                <w:rFonts w:ascii="仿宋" w:cs="仿宋"/>
                <w:kern w:val="0"/>
                <w:sz w:val="21"/>
                <w:szCs w:val="21"/>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确定赛项</w:t>
            </w:r>
          </w:p>
        </w:tc>
        <w:tc>
          <w:tcPr>
            <w:tcW w:w="1985"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仿宋" w:hAnsi="仿宋" w:eastAsia="仿宋" w:cs="仿宋"/>
                <w:kern w:val="0"/>
              </w:rPr>
            </w:pPr>
            <w:r>
              <w:rPr>
                <w:rStyle w:val="19"/>
                <w:rFonts w:ascii="仿宋" w:hAnsi="仿宋" w:eastAsia="仿宋" w:cs="仿宋"/>
                <w:kern w:val="0"/>
              </w:rPr>
              <w:t>2016</w:t>
            </w:r>
            <w:r>
              <w:rPr>
                <w:rStyle w:val="19"/>
                <w:rFonts w:hint="eastAsia" w:ascii="仿宋" w:hAnsi="仿宋" w:eastAsia="仿宋" w:cs="仿宋"/>
                <w:kern w:val="0"/>
                <w:lang w:val="zh-TW" w:eastAsia="zh-TW"/>
              </w:rPr>
              <w:t>年</w:t>
            </w:r>
            <w:r>
              <w:rPr>
                <w:rStyle w:val="19"/>
                <w:rFonts w:ascii="仿宋" w:hAnsi="仿宋" w:eastAsia="仿宋" w:cs="仿宋"/>
                <w:kern w:val="0"/>
              </w:rPr>
              <w:t>11</w:t>
            </w:r>
            <w:r>
              <w:rPr>
                <w:rStyle w:val="19"/>
                <w:rFonts w:hint="eastAsia" w:ascii="仿宋" w:hAnsi="仿宋" w:eastAsia="仿宋" w:cs="仿宋"/>
                <w:kern w:val="0"/>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jc w:val="center"/>
              <w:rPr>
                <w:rFonts w:ascii="仿宋" w:cs="仿宋"/>
                <w:kern w:val="0"/>
                <w:sz w:val="21"/>
                <w:szCs w:val="21"/>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成立赛项执委会、专家组</w:t>
            </w:r>
          </w:p>
        </w:tc>
        <w:tc>
          <w:tcPr>
            <w:tcW w:w="1985"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ascii="仿宋" w:hAnsi="仿宋" w:eastAsia="仿宋" w:cs="仿宋"/>
                <w:kern w:val="0"/>
              </w:rPr>
              <w:t>2</w:t>
            </w:r>
          </w:p>
        </w:tc>
        <w:tc>
          <w:tcPr>
            <w:tcW w:w="155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hint="eastAsia" w:ascii="仿宋" w:hAnsi="仿宋" w:eastAsia="仿宋" w:cs="仿宋"/>
                <w:kern w:val="0"/>
                <w:lang w:val="zh-TW" w:eastAsia="zh-TW"/>
              </w:rPr>
              <w:t>赛前准备</w:t>
            </w: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赛项专家会议</w:t>
            </w:r>
            <w:r>
              <w:rPr>
                <w:rStyle w:val="19"/>
                <w:rFonts w:ascii="仿宋" w:hAnsi="仿宋" w:eastAsia="仿宋" w:cs="仿宋"/>
                <w:kern w:val="0"/>
              </w:rPr>
              <w:t>3-5</w:t>
            </w:r>
            <w:r>
              <w:rPr>
                <w:rStyle w:val="19"/>
                <w:rFonts w:hint="eastAsia" w:ascii="仿宋" w:hAnsi="仿宋" w:eastAsia="仿宋" w:cs="仿宋"/>
                <w:kern w:val="0"/>
                <w:lang w:val="zh-TW" w:eastAsia="zh-TW"/>
              </w:rPr>
              <w:t>轮次会议，确定赛项规程、样题、赛项技术方案、赛场方案、体验环节设计方案、开放方案、宣传方案、教学资源转化方案、赛事安全规章、突发事件应急预案等</w:t>
            </w:r>
          </w:p>
        </w:tc>
        <w:tc>
          <w:tcPr>
            <w:tcW w:w="198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仿宋" w:hAnsi="仿宋" w:eastAsia="仿宋" w:cs="仿宋"/>
                <w:kern w:val="0"/>
              </w:rPr>
            </w:pPr>
            <w:r>
              <w:rPr>
                <w:rStyle w:val="19"/>
                <w:rFonts w:ascii="仿宋" w:hAnsi="仿宋" w:eastAsia="仿宋" w:cs="仿宋"/>
                <w:kern w:val="0"/>
              </w:rPr>
              <w:t>2017</w:t>
            </w:r>
            <w:r>
              <w:rPr>
                <w:rStyle w:val="19"/>
                <w:rFonts w:hint="eastAsia" w:ascii="仿宋" w:hAnsi="仿宋" w:eastAsia="仿宋" w:cs="仿宋"/>
                <w:kern w:val="0"/>
                <w:lang w:val="zh-TW" w:eastAsia="zh-TW"/>
              </w:rPr>
              <w:t>年</w:t>
            </w:r>
            <w:r>
              <w:rPr>
                <w:rStyle w:val="19"/>
                <w:rFonts w:ascii="仿宋" w:hAnsi="仿宋" w:eastAsia="仿宋" w:cs="仿宋"/>
                <w:kern w:val="0"/>
              </w:rPr>
              <w:t>2</w:t>
            </w:r>
            <w:r>
              <w:rPr>
                <w:rStyle w:val="19"/>
                <w:rFonts w:hint="eastAsia" w:ascii="仿宋" w:hAnsi="仿宋" w:eastAsia="仿宋" w:cs="仿宋"/>
                <w:kern w:val="0"/>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jc w:val="center"/>
              <w:rPr>
                <w:rFonts w:ascii="仿宋" w:cs="仿宋"/>
                <w:kern w:val="0"/>
                <w:sz w:val="21"/>
                <w:szCs w:val="21"/>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确定分赛区及承办校</w:t>
            </w:r>
          </w:p>
        </w:tc>
        <w:tc>
          <w:tcPr>
            <w:tcW w:w="198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仿宋" w:hAnsi="仿宋" w:eastAsia="仿宋" w:cs="仿宋"/>
                <w:kern w:val="0"/>
              </w:rPr>
            </w:pPr>
            <w:r>
              <w:rPr>
                <w:rStyle w:val="19"/>
                <w:rFonts w:ascii="仿宋" w:hAnsi="仿宋" w:eastAsia="仿宋" w:cs="仿宋"/>
                <w:kern w:val="0"/>
              </w:rPr>
              <w:t>2017</w:t>
            </w:r>
            <w:r>
              <w:rPr>
                <w:rStyle w:val="19"/>
                <w:rFonts w:hint="eastAsia" w:ascii="仿宋" w:hAnsi="仿宋" w:eastAsia="仿宋" w:cs="仿宋"/>
                <w:kern w:val="0"/>
                <w:lang w:val="zh-TW" w:eastAsia="zh-TW"/>
              </w:rPr>
              <w:t>年</w:t>
            </w:r>
            <w:r>
              <w:rPr>
                <w:rStyle w:val="19"/>
                <w:rFonts w:ascii="仿宋" w:hAnsi="仿宋" w:eastAsia="仿宋" w:cs="仿宋"/>
                <w:kern w:val="0"/>
              </w:rPr>
              <w:t>4</w:t>
            </w:r>
            <w:r>
              <w:rPr>
                <w:rStyle w:val="19"/>
                <w:rFonts w:hint="eastAsia" w:ascii="仿宋" w:hAnsi="仿宋" w:eastAsia="仿宋" w:cs="仿宋"/>
                <w:kern w:val="0"/>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jc w:val="center"/>
              <w:rPr>
                <w:rFonts w:ascii="仿宋" w:cs="仿宋"/>
                <w:kern w:val="0"/>
                <w:sz w:val="21"/>
                <w:szCs w:val="21"/>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全国赛项说明会</w:t>
            </w:r>
          </w:p>
        </w:tc>
        <w:tc>
          <w:tcPr>
            <w:tcW w:w="198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仿宋" w:hAnsi="仿宋" w:eastAsia="仿宋" w:cs="仿宋"/>
                <w:kern w:val="0"/>
              </w:rPr>
            </w:pPr>
            <w:r>
              <w:rPr>
                <w:rStyle w:val="19"/>
                <w:rFonts w:ascii="仿宋" w:hAnsi="仿宋" w:eastAsia="仿宋" w:cs="仿宋"/>
                <w:kern w:val="0"/>
              </w:rPr>
              <w:t>2017</w:t>
            </w:r>
            <w:r>
              <w:rPr>
                <w:rStyle w:val="19"/>
                <w:rFonts w:hint="eastAsia" w:ascii="仿宋" w:hAnsi="仿宋" w:eastAsia="仿宋" w:cs="仿宋"/>
                <w:kern w:val="0"/>
                <w:lang w:val="zh-TW" w:eastAsia="zh-TW"/>
              </w:rPr>
              <w:t>年</w:t>
            </w:r>
            <w:r>
              <w:rPr>
                <w:rStyle w:val="19"/>
                <w:rFonts w:ascii="仿宋" w:hAnsi="仿宋" w:eastAsia="仿宋" w:cs="仿宋"/>
                <w:kern w:val="0"/>
              </w:rPr>
              <w:t>4</w:t>
            </w:r>
            <w:r>
              <w:rPr>
                <w:rStyle w:val="19"/>
                <w:rFonts w:hint="eastAsia" w:ascii="仿宋" w:hAnsi="仿宋" w:eastAsia="仿宋" w:cs="仿宋"/>
                <w:kern w:val="0"/>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jc w:val="center"/>
              <w:rPr>
                <w:rFonts w:ascii="仿宋" w:cs="仿宋"/>
                <w:kern w:val="0"/>
                <w:sz w:val="21"/>
                <w:szCs w:val="21"/>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命题专家组会议，赛题开发、确定竞赛题库</w:t>
            </w:r>
          </w:p>
        </w:tc>
        <w:tc>
          <w:tcPr>
            <w:tcW w:w="198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仿宋" w:hAnsi="仿宋" w:eastAsia="仿宋" w:cs="仿宋"/>
                <w:kern w:val="0"/>
              </w:rPr>
            </w:pPr>
            <w:r>
              <w:rPr>
                <w:rStyle w:val="19"/>
                <w:rFonts w:ascii="仿宋" w:hAnsi="仿宋" w:eastAsia="仿宋" w:cs="仿宋"/>
                <w:kern w:val="0"/>
              </w:rPr>
              <w:t>2017</w:t>
            </w:r>
            <w:r>
              <w:rPr>
                <w:rStyle w:val="19"/>
                <w:rFonts w:hint="eastAsia" w:ascii="仿宋" w:hAnsi="仿宋" w:eastAsia="仿宋" w:cs="仿宋"/>
                <w:kern w:val="0"/>
                <w:lang w:val="zh-TW" w:eastAsia="zh-TW"/>
              </w:rPr>
              <w:t>年</w:t>
            </w:r>
            <w:r>
              <w:rPr>
                <w:rStyle w:val="19"/>
                <w:rFonts w:ascii="仿宋" w:hAnsi="仿宋" w:eastAsia="仿宋" w:cs="仿宋"/>
                <w:kern w:val="0"/>
              </w:rPr>
              <w:t>4</w:t>
            </w:r>
            <w:r>
              <w:rPr>
                <w:rStyle w:val="19"/>
                <w:rFonts w:hint="eastAsia" w:ascii="仿宋" w:hAnsi="仿宋" w:eastAsia="仿宋" w:cs="仿宋"/>
                <w:kern w:val="0"/>
                <w:lang w:val="zh-TW" w:eastAsia="zh-TW"/>
              </w:rPr>
              <w:t>月～</w:t>
            </w:r>
            <w:r>
              <w:rPr>
                <w:rStyle w:val="19"/>
                <w:rFonts w:ascii="仿宋" w:hAnsi="仿宋" w:eastAsia="仿宋" w:cs="仿宋"/>
                <w:kern w:val="0"/>
              </w:rPr>
              <w:t>5</w:t>
            </w:r>
            <w:r>
              <w:rPr>
                <w:rStyle w:val="19"/>
                <w:rFonts w:hint="eastAsia" w:ascii="仿宋" w:hAnsi="仿宋" w:eastAsia="仿宋" w:cs="仿宋"/>
                <w:kern w:val="0"/>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jc w:val="center"/>
              <w:rPr>
                <w:rFonts w:ascii="仿宋" w:cs="仿宋"/>
                <w:kern w:val="0"/>
                <w:sz w:val="21"/>
                <w:szCs w:val="21"/>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仿宋" w:cs="仿宋"/>
                <w:kern w:val="0"/>
                <w:sz w:val="21"/>
                <w:szCs w:val="21"/>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赛项预报名及报名完成</w:t>
            </w:r>
          </w:p>
        </w:tc>
        <w:tc>
          <w:tcPr>
            <w:tcW w:w="198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仿宋" w:hAnsi="仿宋" w:eastAsia="仿宋" w:cs="仿宋"/>
                <w:kern w:val="0"/>
              </w:rPr>
            </w:pPr>
            <w:r>
              <w:rPr>
                <w:rStyle w:val="19"/>
                <w:rFonts w:ascii="仿宋" w:hAnsi="仿宋" w:eastAsia="仿宋" w:cs="仿宋"/>
                <w:kern w:val="0"/>
              </w:rPr>
              <w:t>2017</w:t>
            </w:r>
            <w:r>
              <w:rPr>
                <w:rStyle w:val="19"/>
                <w:rFonts w:hint="eastAsia" w:ascii="仿宋" w:hAnsi="仿宋" w:eastAsia="仿宋" w:cs="仿宋"/>
                <w:kern w:val="0"/>
                <w:lang w:val="zh-TW" w:eastAsia="zh-TW"/>
              </w:rPr>
              <w:t>年</w:t>
            </w:r>
            <w:r>
              <w:rPr>
                <w:rStyle w:val="19"/>
                <w:rFonts w:ascii="仿宋" w:hAnsi="仿宋" w:eastAsia="仿宋" w:cs="仿宋"/>
                <w:kern w:val="0"/>
              </w:rPr>
              <w:t>4</w:t>
            </w:r>
            <w:r>
              <w:rPr>
                <w:rStyle w:val="19"/>
                <w:rFonts w:hint="eastAsia" w:ascii="仿宋" w:hAnsi="仿宋" w:eastAsia="仿宋" w:cs="仿宋"/>
                <w:kern w:val="0"/>
                <w:lang w:val="zh-TW" w:eastAsia="zh-TW"/>
              </w:rPr>
              <w:t>月～</w:t>
            </w:r>
            <w:r>
              <w:rPr>
                <w:rStyle w:val="19"/>
                <w:rFonts w:ascii="仿宋" w:hAnsi="仿宋" w:eastAsia="仿宋" w:cs="仿宋"/>
                <w:kern w:val="0"/>
              </w:rPr>
              <w:t>5</w:t>
            </w:r>
            <w:r>
              <w:rPr>
                <w:rStyle w:val="19"/>
                <w:rFonts w:hint="eastAsia" w:ascii="仿宋" w:hAnsi="仿宋" w:eastAsia="仿宋" w:cs="仿宋"/>
                <w:kern w:val="0"/>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ascii="仿宋" w:hAnsi="仿宋" w:eastAsia="仿宋" w:cs="仿宋"/>
                <w:kern w:val="0"/>
              </w:rPr>
              <w:t>3</w:t>
            </w:r>
          </w:p>
        </w:tc>
        <w:tc>
          <w:tcPr>
            <w:tcW w:w="155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仿宋" w:hAnsi="仿宋" w:eastAsia="仿宋" w:cs="仿宋"/>
                <w:kern w:val="0"/>
              </w:rPr>
            </w:pPr>
            <w:r>
              <w:rPr>
                <w:rStyle w:val="19"/>
                <w:rFonts w:hint="eastAsia" w:ascii="仿宋" w:hAnsi="仿宋" w:eastAsia="仿宋" w:cs="仿宋"/>
                <w:kern w:val="0"/>
                <w:lang w:val="zh-TW" w:eastAsia="zh-TW"/>
              </w:rPr>
              <w:t>比赛阶段</w:t>
            </w: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比赛设备安装、调试，赛场布置、同期技术展示、体验和活动现场布置；赛项指南印刷、选手服装制作</w:t>
            </w:r>
          </w:p>
        </w:tc>
        <w:tc>
          <w:tcPr>
            <w:tcW w:w="1985"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19"/>
                <w:rFonts w:ascii="仿宋" w:hAnsi="仿宋" w:eastAsia="仿宋" w:cs="仿宋"/>
                <w:kern w:val="0"/>
              </w:rPr>
            </w:pPr>
          </w:p>
          <w:p>
            <w:pPr>
              <w:pStyle w:val="24"/>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仿宋" w:hAnsi="仿宋" w:eastAsia="仿宋" w:cs="仿宋"/>
                <w:kern w:val="0"/>
              </w:rPr>
            </w:pPr>
            <w:r>
              <w:rPr>
                <w:rStyle w:val="19"/>
                <w:rFonts w:ascii="仿宋" w:hAnsi="仿宋" w:eastAsia="仿宋" w:cs="仿宋"/>
                <w:kern w:val="0"/>
              </w:rPr>
              <w:t>2017</w:t>
            </w:r>
            <w:r>
              <w:rPr>
                <w:rStyle w:val="19"/>
                <w:rFonts w:hint="eastAsia" w:ascii="仿宋" w:hAnsi="仿宋" w:eastAsia="仿宋" w:cs="仿宋"/>
                <w:kern w:val="0"/>
                <w:lang w:val="zh-TW" w:eastAsia="zh-TW"/>
              </w:rPr>
              <w:t>年</w:t>
            </w:r>
            <w:r>
              <w:rPr>
                <w:rStyle w:val="19"/>
                <w:rFonts w:ascii="仿宋" w:hAnsi="仿宋" w:eastAsia="仿宋" w:cs="仿宋"/>
                <w:kern w:val="0"/>
              </w:rPr>
              <w:t>5</w:t>
            </w:r>
            <w:r>
              <w:rPr>
                <w:rStyle w:val="19"/>
                <w:rFonts w:hint="eastAsia" w:ascii="仿宋" w:hAnsi="仿宋" w:eastAsia="仿宋" w:cs="仿宋"/>
                <w:kern w:val="0"/>
                <w:lang w:val="zh-TW" w:eastAsia="zh-TW"/>
              </w:rPr>
              <w:t>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专家组题库审核，确定评分标准及抽题</w:t>
            </w:r>
          </w:p>
        </w:tc>
        <w:tc>
          <w:tcPr>
            <w:tcW w:w="1985"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成立裁判组、仲裁组、监督组；培训并验收赛场</w:t>
            </w:r>
          </w:p>
        </w:tc>
        <w:tc>
          <w:tcPr>
            <w:tcW w:w="1985"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83" w:hRule="atLeast"/>
        </w:trPr>
        <w:tc>
          <w:tcPr>
            <w:tcW w:w="64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c>
          <w:tcPr>
            <w:tcW w:w="1559"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c>
          <w:tcPr>
            <w:tcW w:w="516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24"/>
              <w:framePr w:w="0" w:wrap="auto" w:vAnchor="margin" w:hAnchor="text" w:yAlign="inline"/>
              <w:tabs>
                <w:tab w:val="left" w:pos="420"/>
                <w:tab w:val="left" w:pos="840"/>
                <w:tab w:val="left" w:pos="1260"/>
                <w:tab w:val="left" w:pos="1680"/>
              </w:tabs>
              <w:rPr>
                <w:rFonts w:ascii="仿宋" w:hAnsi="仿宋" w:eastAsia="仿宋" w:cs="仿宋"/>
                <w:kern w:val="0"/>
              </w:rPr>
            </w:pPr>
            <w:r>
              <w:rPr>
                <w:rStyle w:val="19"/>
                <w:rFonts w:hint="eastAsia" w:ascii="仿宋" w:hAnsi="仿宋" w:eastAsia="仿宋" w:cs="仿宋"/>
                <w:kern w:val="0"/>
                <w:lang w:val="zh-TW" w:eastAsia="zh-TW"/>
              </w:rPr>
              <w:t>正式比赛、同期技术展示、体验和活动举办；竞赛成绩提交、竞赛过程文档提交、教学资源转化成果与赛项总结</w:t>
            </w:r>
          </w:p>
        </w:tc>
        <w:tc>
          <w:tcPr>
            <w:tcW w:w="1985" w:type="dxa"/>
            <w:vMerge w:val="continue"/>
            <w:tcBorders>
              <w:top w:val="single" w:color="000000" w:sz="4" w:space="0"/>
              <w:left w:val="single" w:color="000000" w:sz="4" w:space="0"/>
              <w:bottom w:val="single" w:color="000000" w:sz="4" w:space="0"/>
              <w:right w:val="single" w:color="000000" w:sz="4" w:space="0"/>
            </w:tcBorders>
          </w:tcPr>
          <w:p>
            <w:pPr>
              <w:framePr w:w="0" w:wrap="auto" w:vAnchor="margin" w:hAnchor="text" w:yAlign="inline"/>
              <w:rPr>
                <w:rFonts w:ascii="Times New Roman" w:hAnsi="Times New Roman"/>
                <w:kern w:val="0"/>
                <w:sz w:val="20"/>
                <w:szCs w:val="20"/>
              </w:rPr>
            </w:pPr>
          </w:p>
        </w:tc>
      </w:tr>
      <w:bookmarkEnd w:id="105"/>
    </w:tbl>
    <w:p>
      <w:pPr>
        <w:pStyle w:val="2"/>
        <w:framePr w:w="0" w:wrap="auto" w:vAnchor="margin" w:hAnchor="text" w:yAlign="inline"/>
        <w:rPr>
          <w:rStyle w:val="15"/>
          <w:rFonts w:ascii="仿宋" w:hAnsi="仿宋" w:eastAsia="仿宋" w:cs="仿宋"/>
          <w:lang w:val="zh-TW" w:eastAsia="zh-TW"/>
        </w:rPr>
      </w:pPr>
    </w:p>
    <w:p>
      <w:pPr>
        <w:framePr w:w="0" w:wrap="auto" w:vAnchor="margin" w:hAnchor="text" w:yAlign="inline"/>
        <w:spacing w:line="500" w:lineRule="exact"/>
        <w:ind w:firstLine="560"/>
        <w:rPr>
          <w:rStyle w:val="19"/>
          <w:rFonts w:ascii="仿宋" w:hAnsi="仿宋" w:eastAsia="仿宋" w:cs="仿宋"/>
          <w:lang w:val="zh-TW" w:eastAsia="zh-TW"/>
        </w:rPr>
      </w:pPr>
      <w:bookmarkStart w:id="106" w:name="_Toc47"/>
      <w:bookmarkStart w:id="107" w:name="OLE_LINK21"/>
      <w:r>
        <w:rPr>
          <w:rFonts w:hint="eastAsia" w:eastAsia="宋体"/>
          <w:b/>
          <w:bCs/>
          <w:lang w:val="zh-TW" w:eastAsia="zh-CN"/>
        </w:rPr>
        <w:t>十</w:t>
      </w:r>
      <w:r>
        <w:rPr>
          <w:rStyle w:val="29"/>
          <w:rFonts w:hint="eastAsia"/>
          <w:lang w:val="zh-TW" w:eastAsia="zh-CN"/>
        </w:rPr>
        <w:t>九、</w:t>
      </w:r>
      <w:r>
        <w:rPr>
          <w:rStyle w:val="29"/>
          <w:lang w:val="zh-TW" w:eastAsia="zh-TW"/>
        </w:rPr>
        <w:t>裁判员建议</w:t>
      </w:r>
      <w:bookmarkEnd w:id="106"/>
    </w:p>
    <w:p>
      <w:pPr>
        <w:framePr w:w="0" w:wrap="auto" w:vAnchor="margin" w:hAnchor="text" w:yAlign="inline"/>
        <w:spacing w:line="500" w:lineRule="exact"/>
        <w:ind w:firstLine="560"/>
        <w:rPr>
          <w:rStyle w:val="19"/>
          <w:rFonts w:ascii="仿宋" w:hAnsi="仿宋" w:eastAsia="仿宋" w:cs="仿宋"/>
          <w:lang w:val="zh-TW" w:eastAsia="zh-TW"/>
        </w:rPr>
      </w:pPr>
    </w:p>
    <w:p>
      <w:pPr>
        <w:framePr w:w="0" w:wrap="auto" w:vAnchor="margin" w:hAnchor="text" w:yAlign="inline"/>
        <w:spacing w:line="500" w:lineRule="exact"/>
        <w:ind w:firstLine="560"/>
        <w:rPr>
          <w:rStyle w:val="15"/>
          <w:lang w:val="zh-TW" w:eastAsia="zh-TW"/>
        </w:rPr>
      </w:pPr>
      <w:r>
        <w:rPr>
          <w:rStyle w:val="19"/>
          <w:rFonts w:ascii="仿宋" w:hAnsi="仿宋" w:eastAsia="仿宋" w:cs="仿宋"/>
          <w:lang w:val="zh-TW" w:eastAsia="zh-TW"/>
        </w:rPr>
        <w:t>根据《全国职业院校技能大赛专家和裁判工作管理办法》，建议由高校、高职院校以及行业、企业专家共同构成裁判组。</w:t>
      </w:r>
    </w:p>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对裁判组成员及数量的要求为：裁判长一名；检录及一级加密裁判一名；二级加密裁判一名；现场裁判伍名；评分裁判柒名；共计</w:t>
      </w:r>
      <w:r>
        <w:rPr>
          <w:rStyle w:val="15"/>
          <w:lang w:val="zh-TW" w:eastAsia="zh-TW"/>
        </w:rPr>
        <w:t>15</w:t>
      </w:r>
      <w:r>
        <w:rPr>
          <w:rStyle w:val="19"/>
          <w:rFonts w:ascii="仿宋" w:hAnsi="仿宋" w:eastAsia="仿宋" w:cs="仿宋"/>
          <w:lang w:val="zh-TW" w:eastAsia="zh-TW"/>
        </w:rPr>
        <w:t>人。要求：身体健康，年龄一般在</w:t>
      </w:r>
      <w:r>
        <w:rPr>
          <w:rStyle w:val="15"/>
          <w:lang w:val="zh-TW" w:eastAsia="zh-TW"/>
        </w:rPr>
        <w:t>65</w:t>
      </w:r>
      <w:r>
        <w:rPr>
          <w:rStyle w:val="19"/>
          <w:rFonts w:ascii="仿宋" w:hAnsi="仿宋" w:eastAsia="仿宋" w:cs="仿宋"/>
          <w:lang w:val="zh-TW" w:eastAsia="zh-TW"/>
        </w:rPr>
        <w:t>周岁以下，具有良好的职业道德，坚持原则，作风正派，认真负责，廉洁公正，从事应用电子、新能源（光伏工程）、计算机、软件、网络、通信、自动化等专业工作或教学经验</w:t>
      </w:r>
      <w:r>
        <w:rPr>
          <w:rStyle w:val="15"/>
          <w:lang w:val="zh-TW" w:eastAsia="zh-TW"/>
        </w:rPr>
        <w:t>10</w:t>
      </w:r>
      <w:r>
        <w:rPr>
          <w:rStyle w:val="19"/>
          <w:rFonts w:ascii="仿宋" w:hAnsi="仿宋" w:eastAsia="仿宋" w:cs="仿宋"/>
          <w:lang w:val="zh-TW" w:eastAsia="zh-TW"/>
        </w:rPr>
        <w:t>年以上，有较深的理论造诣，熟悉本专业国内外的技术标准和业务流程，在全国专业领域内有一定的权威性和知名度，具有</w:t>
      </w:r>
      <w:r>
        <w:rPr>
          <w:rStyle w:val="19"/>
          <w:lang w:val="zh-TW" w:eastAsia="zh-TW"/>
        </w:rPr>
        <w:t>中级</w:t>
      </w:r>
      <w:r>
        <w:rPr>
          <w:rStyle w:val="19"/>
          <w:rFonts w:ascii="仿宋" w:hAnsi="仿宋" w:eastAsia="仿宋" w:cs="仿宋"/>
          <w:lang w:val="zh-TW" w:eastAsia="zh-TW"/>
        </w:rPr>
        <w:t>及以上专业技术职称。</w:t>
      </w:r>
    </w:p>
    <w:p>
      <w:pPr>
        <w:framePr w:w="0" w:wrap="auto" w:vAnchor="margin" w:hAnchor="text" w:yAlign="inline"/>
        <w:spacing w:line="500" w:lineRule="exact"/>
        <w:ind w:firstLine="560"/>
        <w:rPr>
          <w:rStyle w:val="19"/>
          <w:rFonts w:ascii="仿宋" w:hAnsi="仿宋" w:eastAsia="仿宋" w:cs="仿宋"/>
          <w:lang w:val="zh-TW" w:eastAsia="zh-TW"/>
        </w:rPr>
      </w:pPr>
    </w:p>
    <w:p>
      <w:pPr>
        <w:framePr w:w="0" w:wrap="auto" w:vAnchor="margin" w:hAnchor="text" w:yAlign="inline"/>
        <w:spacing w:line="500" w:lineRule="exact"/>
        <w:ind w:firstLine="560"/>
        <w:rPr>
          <w:rStyle w:val="19"/>
          <w:rFonts w:ascii="仿宋" w:hAnsi="仿宋" w:eastAsia="仿宋" w:cs="仿宋"/>
          <w:lang w:val="zh-TW" w:eastAsia="zh-TW"/>
        </w:rPr>
      </w:pPr>
    </w:p>
    <w:p>
      <w:pPr>
        <w:framePr w:w="0" w:wrap="auto" w:vAnchor="margin" w:hAnchor="text" w:yAlign="inline"/>
        <w:spacing w:line="500" w:lineRule="exact"/>
        <w:ind w:firstLine="560"/>
        <w:rPr>
          <w:rStyle w:val="19"/>
          <w:rFonts w:ascii="仿宋" w:hAnsi="仿宋" w:eastAsia="仿宋" w:cs="仿宋"/>
          <w:lang w:val="zh-TW" w:eastAsia="zh-TW"/>
        </w:rPr>
      </w:pPr>
    </w:p>
    <w:p>
      <w:pPr>
        <w:framePr w:w="0" w:wrap="auto" w:vAnchor="margin" w:hAnchor="text" w:yAlign="inline"/>
        <w:spacing w:line="500" w:lineRule="exact"/>
        <w:ind w:firstLine="560"/>
        <w:rPr>
          <w:rStyle w:val="19"/>
          <w:rFonts w:ascii="仿宋" w:hAnsi="仿宋" w:eastAsia="仿宋" w:cs="仿宋"/>
          <w:lang w:val="zh-TW" w:eastAsia="zh-TW"/>
        </w:rPr>
      </w:pPr>
    </w:p>
    <w:p>
      <w:pPr>
        <w:framePr w:w="0" w:wrap="auto" w:vAnchor="margin" w:hAnchor="text" w:yAlign="inline"/>
        <w:spacing w:line="500" w:lineRule="exact"/>
        <w:ind w:firstLine="560"/>
        <w:rPr>
          <w:rStyle w:val="19"/>
          <w:rFonts w:ascii="仿宋" w:hAnsi="仿宋" w:eastAsia="仿宋" w:cs="仿宋"/>
          <w:lang w:val="zh-TW" w:eastAsia="zh-TW"/>
        </w:rPr>
      </w:pPr>
    </w:p>
    <w:p>
      <w:pPr>
        <w:framePr w:w="0" w:wrap="auto" w:vAnchor="margin" w:hAnchor="text" w:yAlign="inline"/>
        <w:spacing w:line="500" w:lineRule="exact"/>
        <w:ind w:firstLine="560"/>
        <w:rPr>
          <w:lang w:val="zh-TW" w:eastAsia="zh-TW"/>
        </w:rPr>
      </w:pPr>
    </w:p>
    <w:tbl>
      <w:tblPr>
        <w:tblStyle w:val="12"/>
        <w:tblW w:w="8936" w:type="dxa"/>
        <w:tblInd w:w="54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686"/>
        <w:gridCol w:w="1972"/>
        <w:gridCol w:w="3248"/>
        <w:gridCol w:w="2180"/>
        <w:gridCol w:w="85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768" w:hRule="atLeast"/>
        </w:trPr>
        <w:tc>
          <w:tcPr>
            <w:tcW w:w="686" w:type="dxa"/>
            <w:tcBorders>
              <w:top w:val="single" w:color="000000" w:sz="8" w:space="0"/>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_GB2312" w:hAnsi="仿宋_GB2312" w:eastAsia="仿宋_GB2312" w:cs="仿宋_GB2312"/>
                <w:kern w:val="0"/>
                <w:sz w:val="24"/>
                <w:szCs w:val="24"/>
                <w:lang w:val="zh-TW" w:eastAsia="zh-TW"/>
              </w:rPr>
              <w:t>序号</w:t>
            </w:r>
          </w:p>
        </w:tc>
        <w:tc>
          <w:tcPr>
            <w:tcW w:w="1972" w:type="dxa"/>
            <w:tcBorders>
              <w:top w:val="single" w:color="000000"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_GB2312" w:hAnsi="仿宋_GB2312" w:eastAsia="仿宋_GB2312" w:cs="仿宋_GB2312"/>
                <w:kern w:val="0"/>
                <w:sz w:val="24"/>
                <w:szCs w:val="24"/>
                <w:lang w:val="zh-TW" w:eastAsia="zh-TW"/>
              </w:rPr>
              <w:t>专业技术方向</w:t>
            </w:r>
          </w:p>
        </w:tc>
        <w:tc>
          <w:tcPr>
            <w:tcW w:w="3248" w:type="dxa"/>
            <w:tcBorders>
              <w:top w:val="single" w:color="000000"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_GB2312" w:hAnsi="仿宋_GB2312" w:eastAsia="仿宋_GB2312" w:cs="仿宋_GB2312"/>
                <w:kern w:val="0"/>
                <w:sz w:val="24"/>
                <w:szCs w:val="24"/>
                <w:lang w:val="zh-TW" w:eastAsia="zh-TW"/>
              </w:rPr>
              <w:t>知识能力要求</w:t>
            </w:r>
          </w:p>
        </w:tc>
        <w:tc>
          <w:tcPr>
            <w:tcW w:w="2180" w:type="dxa"/>
            <w:tcBorders>
              <w:top w:val="single" w:color="000000" w:sz="8"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rPr>
                <w:rStyle w:val="19"/>
                <w:rFonts w:ascii="仿宋_GB2312" w:hAnsi="仿宋_GB2312" w:eastAsia="仿宋_GB2312" w:cs="仿宋_GB2312"/>
                <w:b/>
                <w:bCs/>
                <w:kern w:val="0"/>
                <w:sz w:val="24"/>
                <w:szCs w:val="24"/>
              </w:rPr>
            </w:pPr>
            <w:r>
              <w:rPr>
                <w:rStyle w:val="19"/>
                <w:rFonts w:hint="eastAsia" w:ascii="仿宋_GB2312" w:hAnsi="仿宋_GB2312" w:eastAsia="仿宋_GB2312" w:cs="仿宋_GB2312"/>
                <w:b w:val="0"/>
                <w:bCs w:val="0"/>
                <w:kern w:val="0"/>
                <w:sz w:val="24"/>
                <w:szCs w:val="24"/>
                <w:lang w:val="zh-TW" w:eastAsia="zh-TW"/>
              </w:rPr>
              <w:t>专业技术职称</w:t>
            </w:r>
          </w:p>
          <w:p>
            <w:pPr>
              <w:pStyle w:val="18"/>
              <w:framePr w:w="0" w:wrap="auto" w:vAnchor="margin" w:hAnchor="text" w:yAlign="inline"/>
              <w:bidi w:val="0"/>
              <w:ind w:left="0" w:right="0" w:firstLine="0"/>
              <w:jc w:val="center"/>
            </w:pPr>
            <w:r>
              <w:rPr>
                <w:rStyle w:val="19"/>
                <w:rFonts w:hint="eastAsia" w:ascii="仿宋_GB2312" w:hAnsi="仿宋_GB2312" w:eastAsia="仿宋_GB2312" w:cs="仿宋_GB2312"/>
                <w:kern w:val="0"/>
                <w:sz w:val="24"/>
                <w:szCs w:val="24"/>
                <w:lang w:val="zh-TW" w:eastAsia="zh-TW"/>
              </w:rPr>
              <w:t>（职业资格等级）</w:t>
            </w:r>
          </w:p>
        </w:tc>
        <w:tc>
          <w:tcPr>
            <w:tcW w:w="850" w:type="dxa"/>
            <w:tcBorders>
              <w:top w:val="single" w:color="000000" w:sz="8" w:space="0"/>
              <w:left w:val="single" w:color="000000" w:sz="4" w:space="0"/>
              <w:bottom w:val="single" w:color="000000" w:sz="4" w:space="0"/>
              <w:right w:val="single" w:color="000000" w:sz="8" w:space="0"/>
            </w:tcBorders>
            <w:shd w:val="clear" w:color="auto" w:fill="auto"/>
            <w:tcMar>
              <w:top w:w="80" w:type="dxa"/>
              <w:left w:w="80" w:type="dxa"/>
              <w:bottom w:w="80" w:type="dxa"/>
              <w:right w:w="80" w:type="dxa"/>
            </w:tcMar>
            <w:vAlign w:val="top"/>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_GB2312" w:hAnsi="仿宋_GB2312" w:eastAsia="仿宋_GB2312" w:cs="仿宋_GB2312"/>
                <w:kern w:val="0"/>
                <w:sz w:val="24"/>
                <w:szCs w:val="24"/>
                <w:lang w:val="zh-TW" w:eastAsia="zh-TW"/>
              </w:rPr>
              <w:t>人数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230" w:hRule="atLeast"/>
        </w:trPr>
        <w:tc>
          <w:tcPr>
            <w:tcW w:w="686" w:type="dxa"/>
            <w:tcBorders>
              <w:top w:val="single" w:color="000000" w:sz="4" w:space="0"/>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1</w:t>
            </w:r>
          </w:p>
        </w:tc>
        <w:tc>
          <w:tcPr>
            <w:tcW w:w="19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pPr>
            <w:r>
              <w:rPr>
                <w:rStyle w:val="19"/>
                <w:rFonts w:ascii="仿宋" w:hAnsi="仿宋" w:eastAsia="仿宋" w:cs="仿宋"/>
                <w:kern w:val="0"/>
                <w:lang w:val="zh-TW" w:eastAsia="zh-TW"/>
              </w:rPr>
              <w:t>应用电子、光伏工程、新能源、计算机软件、网络、通信、自动化</w:t>
            </w:r>
          </w:p>
        </w:tc>
        <w:tc>
          <w:tcPr>
            <w:tcW w:w="3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5"/>
              <w:framePr w:w="0" w:wrap="auto" w:vAnchor="margin" w:hAnchor="text" w:yAlign="inline"/>
              <w:widowControl/>
            </w:pPr>
            <w:r>
              <w:rPr>
                <w:rStyle w:val="19"/>
                <w:rFonts w:ascii="仿宋" w:hAnsi="仿宋" w:eastAsia="仿宋" w:cs="仿宋"/>
                <w:kern w:val="2"/>
                <w:sz w:val="21"/>
                <w:szCs w:val="21"/>
                <w:lang w:val="zh-TW" w:eastAsia="zh-TW"/>
              </w:rPr>
              <w:t>熟悉光伏工程项目的体系结构、项目实施、设备安装；熟悉控制及运行技术；熟悉新能源电子产品开发；熟悉单片机、C语言、嵌入式发开技术；了解新能源能效检测与评估知识</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kern w:val="0"/>
                <w:lang w:val="zh-CN" w:eastAsia="zh-CN"/>
              </w:rPr>
              <w:t>具有副高及以上专业技术职称</w:t>
            </w:r>
          </w:p>
        </w:tc>
        <w:tc>
          <w:tcPr>
            <w:tcW w:w="850" w:type="dxa"/>
            <w:tcBorders>
              <w:top w:val="single" w:color="000000" w:sz="4" w:space="0"/>
              <w:left w:val="single" w:color="000000" w:sz="4" w:space="0"/>
              <w:bottom w:val="single" w:color="000000" w:sz="4" w:space="0"/>
              <w:right w:val="single" w:color="000000" w:sz="8"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431" w:hRule="atLeast"/>
        </w:trPr>
        <w:tc>
          <w:tcPr>
            <w:tcW w:w="686" w:type="dxa"/>
            <w:tcBorders>
              <w:top w:val="single" w:color="000000" w:sz="4" w:space="0"/>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2</w:t>
            </w:r>
          </w:p>
        </w:tc>
        <w:tc>
          <w:tcPr>
            <w:tcW w:w="19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pPr>
            <w:r>
              <w:rPr>
                <w:rStyle w:val="19"/>
                <w:rFonts w:ascii="仿宋" w:hAnsi="仿宋" w:eastAsia="仿宋" w:cs="仿宋"/>
                <w:kern w:val="0"/>
                <w:lang w:val="zh-TW" w:eastAsia="zh-TW"/>
              </w:rPr>
              <w:t>应用电子、光伏工程、新能源、计算机软件、网络、通信、自动化</w:t>
            </w:r>
          </w:p>
        </w:tc>
        <w:tc>
          <w:tcPr>
            <w:tcW w:w="3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5"/>
              <w:framePr w:w="0" w:wrap="auto" w:vAnchor="margin" w:hAnchor="text" w:yAlign="inline"/>
              <w:widowControl/>
            </w:pPr>
            <w:r>
              <w:rPr>
                <w:rStyle w:val="19"/>
                <w:rFonts w:ascii="仿宋" w:hAnsi="仿宋" w:eastAsia="仿宋" w:cs="仿宋"/>
                <w:kern w:val="2"/>
                <w:sz w:val="21"/>
                <w:szCs w:val="21"/>
                <w:lang w:val="zh-TW" w:eastAsia="zh-TW"/>
              </w:rPr>
              <w:t>熟悉智能微电网的体系结构、项目实施、设备安装；</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rPr>
                <w:rStyle w:val="19"/>
              </w:rPr>
            </w:pPr>
            <w:r>
              <w:rPr>
                <w:rStyle w:val="19"/>
                <w:rFonts w:ascii="仿宋" w:hAnsi="仿宋" w:eastAsia="仿宋" w:cs="仿宋"/>
                <w:kern w:val="0"/>
                <w:lang w:val="zh-TW" w:eastAsia="zh-TW"/>
              </w:rPr>
              <w:t>中级专业技术职称</w:t>
            </w:r>
          </w:p>
          <w:p>
            <w:pPr>
              <w:pStyle w:val="18"/>
              <w:framePr w:w="0" w:wrap="auto" w:vAnchor="margin" w:hAnchor="text" w:yAlign="inline"/>
              <w:jc w:val="center"/>
            </w:pPr>
            <w:r>
              <w:rPr>
                <w:rStyle w:val="19"/>
                <w:rFonts w:ascii="仿宋" w:hAnsi="仿宋" w:eastAsia="仿宋" w:cs="仿宋"/>
                <w:kern w:val="0"/>
                <w:lang w:val="zh-TW" w:eastAsia="zh-TW"/>
              </w:rPr>
              <w:t>（讲师）</w:t>
            </w:r>
          </w:p>
        </w:tc>
        <w:tc>
          <w:tcPr>
            <w:tcW w:w="850" w:type="dxa"/>
            <w:tcBorders>
              <w:top w:val="single" w:color="000000" w:sz="4" w:space="0"/>
              <w:left w:val="single" w:color="000000" w:sz="4" w:space="0"/>
              <w:bottom w:val="single" w:color="000000" w:sz="4" w:space="0"/>
              <w:right w:val="single" w:color="000000" w:sz="8"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223" w:hRule="atLeast"/>
        </w:trPr>
        <w:tc>
          <w:tcPr>
            <w:tcW w:w="686" w:type="dxa"/>
            <w:tcBorders>
              <w:top w:val="single" w:color="000000" w:sz="4" w:space="0"/>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3</w:t>
            </w:r>
          </w:p>
        </w:tc>
        <w:tc>
          <w:tcPr>
            <w:tcW w:w="19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5"/>
              <w:framePr w:w="0" w:wrap="auto" w:vAnchor="margin" w:hAnchor="text" w:yAlign="inline"/>
            </w:pPr>
            <w:r>
              <w:rPr>
                <w:rStyle w:val="19"/>
                <w:rFonts w:ascii="仿宋" w:hAnsi="仿宋" w:eastAsia="仿宋" w:cs="仿宋"/>
                <w:sz w:val="21"/>
                <w:szCs w:val="21"/>
                <w:lang w:val="zh-TW" w:eastAsia="zh-TW"/>
              </w:rPr>
              <w:t>应用电子、光伏工程、新能源、计算机软件、网络、通信、自动化</w:t>
            </w:r>
          </w:p>
        </w:tc>
        <w:tc>
          <w:tcPr>
            <w:tcW w:w="3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5"/>
              <w:framePr w:w="0" w:wrap="auto" w:vAnchor="margin" w:hAnchor="text" w:yAlign="inline"/>
              <w:widowControl/>
            </w:pPr>
            <w:r>
              <w:rPr>
                <w:rStyle w:val="19"/>
                <w:rFonts w:ascii="仿宋" w:hAnsi="仿宋" w:eastAsia="仿宋" w:cs="仿宋"/>
                <w:kern w:val="2"/>
                <w:sz w:val="21"/>
                <w:szCs w:val="21"/>
                <w:lang w:val="zh-TW" w:eastAsia="zh-TW"/>
              </w:rPr>
              <w:t>熟悉智能微电网分布式电源及储能、控制及运行技术；</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rPr>
                <w:rStyle w:val="19"/>
                <w:rFonts w:ascii="仿宋" w:hAnsi="仿宋" w:eastAsia="仿宋" w:cs="仿宋"/>
                <w:kern w:val="0"/>
              </w:rPr>
            </w:pPr>
            <w:r>
              <w:rPr>
                <w:rStyle w:val="19"/>
                <w:rFonts w:ascii="仿宋" w:hAnsi="仿宋" w:eastAsia="仿宋" w:cs="仿宋"/>
                <w:kern w:val="0"/>
                <w:lang w:val="zh-TW" w:eastAsia="zh-TW"/>
              </w:rPr>
              <w:t>中级专业技术职称</w:t>
            </w:r>
          </w:p>
          <w:p>
            <w:pPr>
              <w:pStyle w:val="18"/>
              <w:framePr w:w="0" w:wrap="auto" w:vAnchor="margin" w:hAnchor="text" w:yAlign="inline"/>
              <w:jc w:val="center"/>
            </w:pPr>
            <w:r>
              <w:rPr>
                <w:rStyle w:val="19"/>
                <w:rFonts w:ascii="仿宋" w:hAnsi="仿宋" w:eastAsia="仿宋" w:cs="仿宋"/>
                <w:kern w:val="0"/>
                <w:lang w:val="zh-TW" w:eastAsia="zh-TW"/>
              </w:rPr>
              <w:t>（讲师）</w:t>
            </w:r>
          </w:p>
        </w:tc>
        <w:tc>
          <w:tcPr>
            <w:tcW w:w="850" w:type="dxa"/>
            <w:tcBorders>
              <w:top w:val="single" w:color="000000" w:sz="4" w:space="0"/>
              <w:left w:val="single" w:color="000000" w:sz="4" w:space="0"/>
              <w:bottom w:val="single" w:color="000000" w:sz="4" w:space="0"/>
              <w:right w:val="single" w:color="000000" w:sz="8"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270" w:hRule="atLeast"/>
        </w:trPr>
        <w:tc>
          <w:tcPr>
            <w:tcW w:w="686" w:type="dxa"/>
            <w:tcBorders>
              <w:top w:val="single" w:color="000000" w:sz="4" w:space="0"/>
              <w:left w:val="single" w:color="000000" w:sz="8"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4</w:t>
            </w:r>
          </w:p>
        </w:tc>
        <w:tc>
          <w:tcPr>
            <w:tcW w:w="19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5"/>
              <w:framePr w:w="0" w:wrap="auto" w:vAnchor="margin" w:hAnchor="text" w:yAlign="inline"/>
            </w:pPr>
            <w:r>
              <w:rPr>
                <w:rStyle w:val="19"/>
                <w:rFonts w:ascii="仿宋" w:hAnsi="仿宋" w:eastAsia="仿宋" w:cs="仿宋"/>
                <w:sz w:val="21"/>
                <w:szCs w:val="21"/>
                <w:lang w:val="zh-TW" w:eastAsia="zh-TW"/>
              </w:rPr>
              <w:t>应用电子、光伏工程、新能源、计算机软件、网络、通信、自动化</w:t>
            </w:r>
          </w:p>
        </w:tc>
        <w:tc>
          <w:tcPr>
            <w:tcW w:w="324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25"/>
              <w:framePr w:w="0" w:wrap="auto" w:vAnchor="margin" w:hAnchor="text" w:yAlign="inline"/>
              <w:widowControl/>
            </w:pPr>
            <w:r>
              <w:rPr>
                <w:rStyle w:val="19"/>
                <w:rFonts w:ascii="仿宋" w:hAnsi="仿宋" w:eastAsia="仿宋" w:cs="仿宋"/>
                <w:kern w:val="2"/>
                <w:sz w:val="21"/>
                <w:szCs w:val="21"/>
                <w:lang w:val="zh-TW" w:eastAsia="zh-TW"/>
              </w:rPr>
              <w:t>熟悉新能源电子产品开发；熟悉单片机、C语言、嵌入式发开技术；了解新能源能效检测与评估知识</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rPr>
                <w:rStyle w:val="19"/>
                <w:rFonts w:ascii="仿宋" w:hAnsi="仿宋" w:eastAsia="仿宋" w:cs="仿宋"/>
                <w:kern w:val="0"/>
              </w:rPr>
            </w:pPr>
            <w:r>
              <w:rPr>
                <w:rStyle w:val="19"/>
                <w:rFonts w:ascii="仿宋" w:hAnsi="仿宋" w:eastAsia="仿宋" w:cs="仿宋"/>
                <w:kern w:val="0"/>
                <w:lang w:val="zh-TW" w:eastAsia="zh-TW"/>
              </w:rPr>
              <w:t>中级专业技术职称</w:t>
            </w:r>
          </w:p>
          <w:p>
            <w:pPr>
              <w:pStyle w:val="18"/>
              <w:framePr w:w="0" w:wrap="auto" w:vAnchor="margin" w:hAnchor="text" w:yAlign="inline"/>
              <w:jc w:val="center"/>
            </w:pPr>
            <w:r>
              <w:rPr>
                <w:rStyle w:val="19"/>
                <w:rFonts w:ascii="仿宋" w:hAnsi="仿宋" w:eastAsia="仿宋" w:cs="仿宋"/>
                <w:kern w:val="0"/>
                <w:lang w:val="zh-TW" w:eastAsia="zh-TW"/>
              </w:rPr>
              <w:t>（讲师）</w:t>
            </w:r>
          </w:p>
        </w:tc>
        <w:tc>
          <w:tcPr>
            <w:tcW w:w="850" w:type="dxa"/>
            <w:tcBorders>
              <w:top w:val="single" w:color="000000" w:sz="4" w:space="0"/>
              <w:left w:val="single" w:color="000000" w:sz="4" w:space="0"/>
              <w:bottom w:val="single" w:color="000000" w:sz="4" w:space="0"/>
              <w:right w:val="single" w:color="000000" w:sz="8"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228" w:hRule="atLeast"/>
        </w:trPr>
        <w:tc>
          <w:tcPr>
            <w:tcW w:w="686" w:type="dxa"/>
            <w:tcBorders>
              <w:top w:val="single" w:color="000000" w:sz="4" w:space="0"/>
              <w:left w:val="single" w:color="000000" w:sz="8" w:space="0"/>
              <w:bottom w:val="single" w:color="000000" w:sz="8" w:space="0"/>
              <w:right w:val="single" w:color="000000" w:sz="4" w:space="0"/>
            </w:tcBorders>
            <w:shd w:val="clear" w:color="auto" w:fill="auto"/>
            <w:tcMar>
              <w:top w:w="80" w:type="dxa"/>
              <w:left w:w="80" w:type="dxa"/>
              <w:bottom w:w="80" w:type="dxa"/>
              <w:right w:w="80" w:type="dxa"/>
            </w:tcMar>
            <w:vAlign w:val="center"/>
          </w:tcPr>
          <w:p>
            <w:pPr>
              <w:pStyle w:val="18"/>
              <w:framePr w:w="0" w:wrap="auto" w:vAnchor="margin" w:hAnchor="text" w:yAlign="inlin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pPr>
            <w:r>
              <w:rPr>
                <w:rStyle w:val="19"/>
                <w:rFonts w:ascii="仿宋" w:hAnsi="仿宋" w:eastAsia="仿宋" w:cs="仿宋"/>
                <w:kern w:val="0"/>
                <w:lang w:val="zh-TW" w:eastAsia="zh-TW"/>
              </w:rPr>
              <w:t>裁判总人数</w:t>
            </w:r>
          </w:p>
        </w:tc>
        <w:tc>
          <w:tcPr>
            <w:tcW w:w="8250" w:type="dxa"/>
            <w:gridSpan w:val="4"/>
            <w:tcBorders>
              <w:top w:val="single" w:color="000000" w:sz="4" w:space="0"/>
              <w:left w:val="single" w:color="000000" w:sz="4" w:space="0"/>
              <w:bottom w:val="single" w:color="000000" w:sz="8" w:space="0"/>
              <w:right w:val="single" w:color="000000" w:sz="8" w:space="0"/>
            </w:tcBorders>
            <w:shd w:val="clear" w:color="auto" w:fill="auto"/>
            <w:tcMar>
              <w:top w:w="80" w:type="dxa"/>
              <w:left w:w="80" w:type="dxa"/>
              <w:bottom w:w="80" w:type="dxa"/>
              <w:right w:w="80" w:type="dxa"/>
            </w:tcMar>
            <w:vAlign w:val="center"/>
          </w:tcPr>
          <w:p>
            <w:pPr>
              <w:pStyle w:val="18"/>
              <w:framePr w:w="0" w:wrap="auto" w:vAnchor="margin" w:hAnchor="text" w:yAlign="inline"/>
              <w:jc w:val="center"/>
            </w:pPr>
            <w:r>
              <w:rPr>
                <w:rStyle w:val="19"/>
                <w:rFonts w:ascii="仿宋" w:hAnsi="仿宋" w:eastAsia="仿宋" w:cs="仿宋"/>
                <w:kern w:val="0"/>
                <w:lang w:val="zh-TW" w:eastAsia="zh-TW"/>
              </w:rPr>
              <w:t>15</w:t>
            </w:r>
          </w:p>
        </w:tc>
      </w:tr>
    </w:tbl>
    <w:p>
      <w:pPr>
        <w:framePr w:w="0" w:wrap="auto" w:vAnchor="margin" w:hAnchor="text" w:yAlign="inline"/>
        <w:ind w:left="432" w:hanging="432"/>
        <w:jc w:val="left"/>
        <w:rPr>
          <w:lang w:val="zh-TW" w:eastAsia="zh-TW"/>
        </w:rPr>
      </w:pPr>
    </w:p>
    <w:p>
      <w:pPr>
        <w:framePr w:w="0" w:wrap="auto" w:vAnchor="margin" w:hAnchor="text" w:yAlign="inline"/>
        <w:ind w:left="324" w:hanging="324"/>
        <w:rPr>
          <w:lang w:val="zh-TW" w:eastAsia="zh-TW"/>
        </w:rPr>
      </w:pPr>
    </w:p>
    <w:p>
      <w:pPr>
        <w:framePr w:w="0" w:wrap="auto" w:vAnchor="margin" w:hAnchor="text" w:yAlign="inline"/>
        <w:spacing w:line="500" w:lineRule="exact"/>
        <w:rPr>
          <w:rFonts w:ascii="仿宋" w:hAnsi="仿宋" w:eastAsia="仿宋" w:cs="仿宋"/>
        </w:rPr>
      </w:pPr>
    </w:p>
    <w:p>
      <w:pPr>
        <w:pStyle w:val="2"/>
        <w:framePr w:w="0" w:wrap="auto" w:vAnchor="margin" w:hAnchor="text" w:yAlign="inline"/>
        <w:numPr>
          <w:ilvl w:val="0"/>
          <w:numId w:val="0"/>
        </w:numPr>
        <w:bidi w:val="0"/>
        <w:ind w:leftChars="0" w:right="0" w:rightChars="0"/>
        <w:jc w:val="both"/>
        <w:rPr>
          <w:rStyle w:val="15"/>
          <w:rFonts w:ascii="仿宋" w:hAnsi="仿宋" w:eastAsia="仿宋" w:cs="仿宋"/>
          <w:lang w:val="zh-TW" w:eastAsia="zh-TW"/>
        </w:rPr>
      </w:pPr>
      <w:bookmarkStart w:id="108" w:name="_Toc48"/>
      <w:bookmarkStart w:id="109" w:name="_Toc19189"/>
      <w:r>
        <w:rPr>
          <w:rStyle w:val="15"/>
          <w:rFonts w:hint="eastAsia" w:ascii="仿宋" w:hAnsi="仿宋" w:eastAsia="仿宋" w:cs="仿宋"/>
          <w:lang w:val="zh-TW" w:eastAsia="zh-CN"/>
        </w:rPr>
        <w:t>二</w:t>
      </w:r>
      <w:r>
        <w:rPr>
          <w:rStyle w:val="29"/>
          <w:rFonts w:hint="eastAsia"/>
          <w:b/>
          <w:bCs/>
          <w:lang w:val="zh-TW" w:eastAsia="zh-CN"/>
        </w:rPr>
        <w:t>十、</w:t>
      </w:r>
      <w:r>
        <w:rPr>
          <w:rStyle w:val="29"/>
          <w:b/>
          <w:bCs/>
          <w:lang w:val="zh-TW" w:eastAsia="zh-TW"/>
        </w:rPr>
        <w:t>赛题公开承诺</w:t>
      </w:r>
      <w:bookmarkEnd w:id="108"/>
      <w:bookmarkEnd w:id="109"/>
    </w:p>
    <w:bookmarkEnd w:id="107"/>
    <w:p>
      <w:pPr>
        <w:framePr w:w="0" w:wrap="auto" w:vAnchor="margin" w:hAnchor="text" w:yAlign="inline"/>
        <w:spacing w:line="500" w:lineRule="exact"/>
        <w:ind w:firstLine="560"/>
        <w:rPr>
          <w:rStyle w:val="19"/>
          <w:rFonts w:ascii="仿宋" w:hAnsi="仿宋" w:eastAsia="仿宋" w:cs="仿宋"/>
          <w:lang w:val="zh-TW" w:eastAsia="zh-TW"/>
        </w:rPr>
      </w:pPr>
      <w:r>
        <w:rPr>
          <w:rStyle w:val="19"/>
          <w:rFonts w:ascii="仿宋" w:hAnsi="仿宋" w:eastAsia="仿宋" w:cs="仿宋"/>
          <w:lang w:val="zh-TW" w:eastAsia="zh-TW"/>
        </w:rPr>
        <w:t>承诺保证于开赛前</w:t>
      </w:r>
      <w:r>
        <w:rPr>
          <w:rStyle w:val="15"/>
          <w:lang w:val="zh-TW" w:eastAsia="zh-TW"/>
        </w:rPr>
        <w:t>2</w:t>
      </w:r>
      <w:r>
        <w:rPr>
          <w:rStyle w:val="19"/>
          <w:rFonts w:ascii="仿宋" w:hAnsi="仿宋" w:eastAsia="仿宋" w:cs="仿宋"/>
          <w:lang w:val="zh-TW" w:eastAsia="zh-TW"/>
        </w:rPr>
        <w:t>个月前在大赛网络信息发布平台上（</w:t>
      </w:r>
      <w:r>
        <w:rPr>
          <w:rStyle w:val="15"/>
          <w:lang w:val="zh-TW" w:eastAsia="zh-TW"/>
        </w:rPr>
        <w:t>www.chinaskills-jsw.org</w:t>
      </w:r>
      <w:r>
        <w:rPr>
          <w:rStyle w:val="19"/>
          <w:rFonts w:ascii="仿宋" w:hAnsi="仿宋" w:eastAsia="仿宋" w:cs="仿宋"/>
          <w:lang w:val="zh-TW" w:eastAsia="zh-TW"/>
        </w:rPr>
        <w:t>）公开全部赛题。</w:t>
      </w:r>
    </w:p>
    <w:p>
      <w:pPr>
        <w:framePr w:w="0" w:wrap="auto" w:vAnchor="margin" w:hAnchor="text" w:yAlign="inline"/>
        <w:spacing w:line="500" w:lineRule="exact"/>
        <w:ind w:firstLine="560"/>
        <w:rPr>
          <w:rStyle w:val="19"/>
          <w:rFonts w:ascii="仿宋" w:hAnsi="仿宋" w:eastAsia="仿宋" w:cs="仿宋"/>
          <w:lang w:val="zh-TW" w:eastAsia="zh-TW"/>
        </w:rPr>
      </w:pPr>
    </w:p>
    <w:p>
      <w:pPr>
        <w:framePr w:w="0" w:wrap="auto" w:vAnchor="margin" w:hAnchor="text" w:yAlign="inline"/>
        <w:spacing w:line="500" w:lineRule="exact"/>
        <w:ind w:firstLine="560"/>
        <w:rPr>
          <w:rStyle w:val="19"/>
          <w:rFonts w:ascii="仿宋" w:hAnsi="仿宋" w:eastAsia="仿宋" w:cs="仿宋"/>
          <w:lang w:val="zh-TW" w:eastAsia="zh-TW"/>
        </w:rPr>
      </w:pPr>
    </w:p>
    <w:p>
      <w:pPr>
        <w:pStyle w:val="2"/>
        <w:framePr w:w="0" w:wrap="auto" w:vAnchor="margin" w:hAnchor="text" w:yAlign="inline"/>
        <w:numPr>
          <w:ilvl w:val="0"/>
          <w:numId w:val="0"/>
        </w:numPr>
        <w:bidi w:val="0"/>
        <w:ind w:leftChars="0" w:right="0" w:rightChars="0"/>
        <w:jc w:val="both"/>
        <w:rPr>
          <w:rStyle w:val="29"/>
          <w:b/>
          <w:bCs/>
          <w:lang w:val="zh-TW" w:eastAsia="zh-TW"/>
        </w:rPr>
      </w:pPr>
      <w:bookmarkStart w:id="110" w:name="_Toc10291"/>
      <w:bookmarkStart w:id="111" w:name="_Toc49"/>
      <w:r>
        <w:rPr>
          <w:rStyle w:val="15"/>
          <w:rFonts w:hint="eastAsia" w:ascii="仿宋" w:hAnsi="仿宋" w:eastAsia="仿宋" w:cs="仿宋"/>
          <w:lang w:val="zh-TW" w:eastAsia="zh-CN"/>
        </w:rPr>
        <w:t>二</w:t>
      </w:r>
      <w:r>
        <w:rPr>
          <w:rStyle w:val="29"/>
          <w:rFonts w:hint="eastAsia"/>
          <w:b/>
          <w:bCs/>
          <w:lang w:val="zh-TW" w:eastAsia="zh-CN"/>
        </w:rPr>
        <w:t>十一、</w:t>
      </w:r>
      <w:r>
        <w:rPr>
          <w:rStyle w:val="29"/>
          <w:b/>
          <w:bCs/>
          <w:lang w:val="zh-TW" w:eastAsia="zh-TW"/>
        </w:rPr>
        <w:t>其他</w:t>
      </w:r>
      <w:bookmarkEnd w:id="110"/>
      <w:bookmarkEnd w:id="111"/>
    </w:p>
    <w:p>
      <w:pPr>
        <w:pStyle w:val="3"/>
        <w:framePr w:w="0" w:wrap="auto" w:vAnchor="margin" w:hAnchor="text" w:yAlign="inline"/>
        <w:jc w:val="center"/>
      </w:pPr>
      <w:bookmarkStart w:id="112" w:name="_Toc5145"/>
      <w:bookmarkStart w:id="113" w:name="_Toc50"/>
      <w:r>
        <w:rPr>
          <w:lang w:val="zh-TW" w:eastAsia="zh-TW"/>
        </w:rPr>
        <w:t>附件</w:t>
      </w:r>
      <w:r>
        <w:rPr>
          <w:lang w:val="en-US"/>
        </w:rPr>
        <w:t>1</w:t>
      </w:r>
      <w:r>
        <w:rPr>
          <w:lang w:val="zh-TW" w:eastAsia="zh-TW"/>
        </w:rPr>
        <w:t>：光伏电子工程的设计与实施赛项任务书（样题）</w:t>
      </w:r>
      <w:bookmarkEnd w:id="112"/>
      <w:bookmarkEnd w:id="113"/>
    </w:p>
    <w:p>
      <w:pPr>
        <w:framePr w:w="0" w:wrap="auto" w:vAnchor="margin" w:hAnchor="text" w:yAlign="inline"/>
        <w:rPr>
          <w:lang w:val="zh-TW" w:eastAsia="zh-TW"/>
        </w:rPr>
      </w:pPr>
    </w:p>
    <w:p>
      <w:pPr>
        <w:framePr w:w="0" w:wrap="auto" w:vAnchor="margin" w:hAnchor="text" w:yAlign="inline"/>
        <w:spacing w:line="360" w:lineRule="auto"/>
        <w:jc w:val="center"/>
        <w:rPr>
          <w:rStyle w:val="19"/>
          <w:rFonts w:ascii="宋体" w:hAnsi="宋体" w:eastAsia="宋体" w:cs="宋体"/>
          <w:b/>
          <w:bCs/>
          <w:sz w:val="24"/>
          <w:szCs w:val="24"/>
          <w:lang w:val="zh-TW" w:eastAsia="zh-TW"/>
        </w:rPr>
      </w:pPr>
      <w:bookmarkStart w:id="114" w:name="OLE_LINK12"/>
      <w:r>
        <w:rPr>
          <w:rStyle w:val="19"/>
          <w:rFonts w:ascii="仿宋" w:hAnsi="仿宋" w:eastAsia="仿宋" w:cs="仿宋"/>
          <w:b/>
          <w:bCs/>
          <w:sz w:val="24"/>
          <w:szCs w:val="24"/>
          <w:lang w:val="zh-TW" w:eastAsia="zh-TW"/>
        </w:rPr>
        <w:t>第一部分竞赛须知</w:t>
      </w:r>
    </w:p>
    <w:p>
      <w:pPr>
        <w:framePr w:w="0" w:wrap="auto" w:vAnchor="margin" w:hAnchor="text" w:yAlign="inline"/>
        <w:spacing w:line="360" w:lineRule="auto"/>
        <w:rPr>
          <w:rStyle w:val="19"/>
          <w:rFonts w:ascii="宋体" w:hAnsi="宋体" w:eastAsia="宋体" w:cs="宋体"/>
          <w:sz w:val="24"/>
          <w:szCs w:val="24"/>
          <w:lang w:val="zh-TW" w:eastAsia="zh-TW"/>
        </w:rPr>
      </w:pPr>
      <w:r>
        <w:rPr>
          <w:rStyle w:val="19"/>
          <w:rFonts w:ascii="仿宋" w:hAnsi="仿宋" w:eastAsia="仿宋" w:cs="仿宋"/>
          <w:sz w:val="24"/>
          <w:szCs w:val="24"/>
          <w:lang w:val="zh-TW" w:eastAsia="zh-TW"/>
        </w:rPr>
        <w:t>一、竞赛要求</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1</w:t>
      </w:r>
      <w:r>
        <w:rPr>
          <w:rStyle w:val="19"/>
          <w:rFonts w:ascii="仿宋" w:hAnsi="仿宋" w:eastAsia="仿宋" w:cs="仿宋"/>
          <w:sz w:val="24"/>
          <w:szCs w:val="24"/>
          <w:lang w:val="zh-TW" w:eastAsia="zh-TW"/>
        </w:rPr>
        <w:t>、正确使用设备与工具，严格遵守操作安全规范。</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2</w:t>
      </w:r>
      <w:r>
        <w:rPr>
          <w:rStyle w:val="19"/>
          <w:rFonts w:ascii="仿宋" w:hAnsi="仿宋" w:eastAsia="仿宋" w:cs="仿宋"/>
          <w:sz w:val="24"/>
          <w:szCs w:val="24"/>
          <w:lang w:val="zh-TW" w:eastAsia="zh-TW"/>
        </w:rPr>
        <w:t>、竞赛过程中如有异议，可向现场监考或裁判人员反映，不得扰乱赛场秩序。</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3</w:t>
      </w:r>
      <w:r>
        <w:rPr>
          <w:rStyle w:val="19"/>
          <w:rFonts w:ascii="仿宋" w:hAnsi="仿宋" w:eastAsia="仿宋" w:cs="仿宋"/>
          <w:sz w:val="24"/>
          <w:szCs w:val="24"/>
          <w:lang w:val="zh-TW" w:eastAsia="zh-TW"/>
        </w:rPr>
        <w:t>、遵守赛场纪律，尊重监考或裁判人员，服从安排。</w:t>
      </w:r>
    </w:p>
    <w:p>
      <w:pPr>
        <w:framePr w:w="0" w:wrap="auto" w:vAnchor="margin" w:hAnchor="text" w:yAlign="inline"/>
        <w:spacing w:line="360" w:lineRule="auto"/>
        <w:rPr>
          <w:rStyle w:val="19"/>
          <w:rFonts w:ascii="宋体" w:hAnsi="宋体" w:eastAsia="宋体" w:cs="宋体"/>
          <w:sz w:val="24"/>
          <w:szCs w:val="24"/>
          <w:lang w:val="zh-TW" w:eastAsia="zh-TW"/>
        </w:rPr>
      </w:pPr>
      <w:r>
        <w:rPr>
          <w:rStyle w:val="19"/>
          <w:rFonts w:ascii="仿宋" w:hAnsi="仿宋" w:eastAsia="仿宋" w:cs="仿宋"/>
          <w:sz w:val="24"/>
          <w:szCs w:val="24"/>
          <w:lang w:val="zh-TW" w:eastAsia="zh-TW"/>
        </w:rPr>
        <w:t>二、职业素养与安全意识</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1</w:t>
      </w:r>
      <w:r>
        <w:rPr>
          <w:rStyle w:val="19"/>
          <w:rFonts w:ascii="仿宋" w:hAnsi="仿宋" w:eastAsia="仿宋" w:cs="仿宋"/>
          <w:sz w:val="24"/>
          <w:szCs w:val="24"/>
          <w:lang w:val="zh-TW" w:eastAsia="zh-TW"/>
        </w:rPr>
        <w:t>、完成竞赛任务，所有操作符合安全操作规范，注意用电安全。</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2</w:t>
      </w:r>
      <w:r>
        <w:rPr>
          <w:rStyle w:val="19"/>
          <w:rFonts w:ascii="仿宋" w:hAnsi="仿宋" w:eastAsia="仿宋" w:cs="仿宋"/>
          <w:sz w:val="24"/>
          <w:szCs w:val="24"/>
          <w:lang w:val="zh-TW" w:eastAsia="zh-TW"/>
        </w:rPr>
        <w:t>、实训工位、工作台表面整洁，工具摆放、导线头等处理符合职业岗位要求。</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3</w:t>
      </w:r>
      <w:r>
        <w:rPr>
          <w:rStyle w:val="19"/>
          <w:rFonts w:ascii="仿宋" w:hAnsi="仿宋" w:eastAsia="仿宋" w:cs="仿宋"/>
          <w:sz w:val="24"/>
          <w:szCs w:val="24"/>
          <w:lang w:val="zh-TW" w:eastAsia="zh-TW"/>
        </w:rPr>
        <w:t>、遵守赛场纪律，尊重赛场工作人员，爱惜赛场设备、器材。</w:t>
      </w:r>
    </w:p>
    <w:p>
      <w:pPr>
        <w:framePr w:w="0" w:wrap="auto" w:vAnchor="margin" w:hAnchor="text" w:yAlign="inline"/>
        <w:spacing w:line="360" w:lineRule="auto"/>
        <w:rPr>
          <w:rStyle w:val="19"/>
          <w:rFonts w:ascii="宋体" w:hAnsi="宋体" w:eastAsia="宋体" w:cs="宋体"/>
          <w:sz w:val="24"/>
          <w:szCs w:val="24"/>
          <w:lang w:val="zh-TW" w:eastAsia="zh-TW"/>
        </w:rPr>
      </w:pPr>
      <w:r>
        <w:rPr>
          <w:rStyle w:val="19"/>
          <w:rFonts w:ascii="仿宋" w:hAnsi="仿宋" w:eastAsia="仿宋" w:cs="仿宋"/>
          <w:sz w:val="24"/>
          <w:szCs w:val="24"/>
          <w:lang w:val="zh-TW" w:eastAsia="zh-TW"/>
        </w:rPr>
        <w:t>三、扣分项</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1</w:t>
      </w:r>
      <w:r>
        <w:rPr>
          <w:rStyle w:val="19"/>
          <w:rFonts w:ascii="仿宋" w:hAnsi="仿宋" w:eastAsia="仿宋" w:cs="仿宋"/>
          <w:sz w:val="24"/>
          <w:szCs w:val="24"/>
          <w:lang w:val="zh-TW" w:eastAsia="zh-TW"/>
        </w:rPr>
        <w:t>、在完成竞赛过程中，因操作不当导致设备破坏性损坏或造成事故，视情节扣</w:t>
      </w:r>
      <w:r>
        <w:rPr>
          <w:rStyle w:val="19"/>
          <w:rFonts w:ascii="宋体" w:hAnsi="宋体" w:eastAsia="宋体" w:cs="宋体"/>
          <w:sz w:val="24"/>
          <w:szCs w:val="24"/>
          <w:lang w:val="en-US"/>
        </w:rPr>
        <w:t>10</w:t>
      </w:r>
      <w:r>
        <w:rPr>
          <w:rStyle w:val="19"/>
          <w:rFonts w:ascii="仿宋" w:hAnsi="仿宋" w:eastAsia="仿宋" w:cs="仿宋"/>
          <w:sz w:val="24"/>
          <w:szCs w:val="24"/>
          <w:lang w:val="zh-TW" w:eastAsia="zh-TW"/>
        </w:rPr>
        <w:t>～</w:t>
      </w:r>
      <w:r>
        <w:rPr>
          <w:rStyle w:val="19"/>
          <w:rFonts w:ascii="宋体" w:hAnsi="宋体" w:eastAsia="宋体" w:cs="宋体"/>
          <w:sz w:val="24"/>
          <w:szCs w:val="24"/>
          <w:lang w:val="en-US"/>
        </w:rPr>
        <w:t>20</w:t>
      </w:r>
      <w:r>
        <w:rPr>
          <w:rStyle w:val="19"/>
          <w:rFonts w:ascii="仿宋" w:hAnsi="仿宋" w:eastAsia="仿宋" w:cs="仿宋"/>
          <w:sz w:val="24"/>
          <w:szCs w:val="24"/>
          <w:lang w:val="zh-TW" w:eastAsia="zh-TW"/>
        </w:rPr>
        <w:t>分，情况严重者取消比赛资格。</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2</w:t>
      </w:r>
      <w:r>
        <w:rPr>
          <w:rStyle w:val="19"/>
          <w:rFonts w:ascii="仿宋" w:hAnsi="仿宋" w:eastAsia="仿宋" w:cs="仿宋"/>
          <w:sz w:val="24"/>
          <w:szCs w:val="24"/>
          <w:lang w:val="zh-TW" w:eastAsia="zh-TW"/>
        </w:rPr>
        <w:t>、衣着不整、污染赛场环境、扰乱赛场秩序、干扰裁判工作等不符合职业规范的行为，视情节扣</w:t>
      </w:r>
      <w:r>
        <w:rPr>
          <w:rStyle w:val="19"/>
          <w:rFonts w:ascii="宋体" w:hAnsi="宋体" w:eastAsia="宋体" w:cs="宋体"/>
          <w:sz w:val="24"/>
          <w:szCs w:val="24"/>
          <w:lang w:val="en-US"/>
        </w:rPr>
        <w:t>5</w:t>
      </w:r>
      <w:r>
        <w:rPr>
          <w:rStyle w:val="19"/>
          <w:rFonts w:ascii="仿宋" w:hAnsi="仿宋" w:eastAsia="仿宋" w:cs="仿宋"/>
          <w:sz w:val="24"/>
          <w:szCs w:val="24"/>
          <w:lang w:val="zh-TW" w:eastAsia="zh-TW"/>
        </w:rPr>
        <w:t>～</w:t>
      </w:r>
      <w:r>
        <w:rPr>
          <w:rStyle w:val="19"/>
          <w:rFonts w:ascii="宋体" w:hAnsi="宋体" w:eastAsia="宋体" w:cs="宋体"/>
          <w:sz w:val="24"/>
          <w:szCs w:val="24"/>
          <w:lang w:val="en-US"/>
        </w:rPr>
        <w:t>10</w:t>
      </w:r>
      <w:r>
        <w:rPr>
          <w:rStyle w:val="19"/>
          <w:rFonts w:ascii="仿宋" w:hAnsi="仿宋" w:eastAsia="仿宋" w:cs="仿宋"/>
          <w:sz w:val="24"/>
          <w:szCs w:val="24"/>
          <w:lang w:val="zh-TW" w:eastAsia="zh-TW"/>
        </w:rPr>
        <w:t>分，情节严重者取消竞赛资格。</w:t>
      </w:r>
    </w:p>
    <w:p>
      <w:pPr>
        <w:framePr w:w="0" w:wrap="auto" w:vAnchor="margin" w:hAnchor="text" w:yAlign="inline"/>
        <w:spacing w:line="360" w:lineRule="auto"/>
        <w:rPr>
          <w:rStyle w:val="19"/>
          <w:rFonts w:ascii="宋体" w:hAnsi="宋体" w:eastAsia="宋体" w:cs="宋体"/>
          <w:sz w:val="24"/>
          <w:szCs w:val="24"/>
          <w:lang w:val="zh-TW" w:eastAsia="zh-TW"/>
        </w:rPr>
      </w:pPr>
      <w:r>
        <w:rPr>
          <w:rStyle w:val="19"/>
          <w:rFonts w:ascii="仿宋" w:hAnsi="仿宋" w:eastAsia="仿宋" w:cs="仿宋"/>
          <w:sz w:val="24"/>
          <w:szCs w:val="24"/>
          <w:lang w:val="zh-TW" w:eastAsia="zh-TW"/>
        </w:rPr>
        <w:t>四、选手须知</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1</w:t>
      </w:r>
      <w:r>
        <w:rPr>
          <w:rStyle w:val="19"/>
          <w:rFonts w:ascii="仿宋" w:hAnsi="仿宋" w:eastAsia="仿宋" w:cs="仿宋"/>
          <w:sz w:val="24"/>
          <w:szCs w:val="24"/>
          <w:lang w:val="zh-TW" w:eastAsia="zh-TW"/>
        </w:rPr>
        <w:t>、任务书如出现缺页、字迹不清等问题，请及时向裁判示意，并进行更换；比赛结束后，所提供的所有纸质材料均须留在赛场。</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2</w:t>
      </w:r>
      <w:r>
        <w:rPr>
          <w:rStyle w:val="19"/>
          <w:rFonts w:ascii="仿宋" w:hAnsi="仿宋" w:eastAsia="仿宋" w:cs="仿宋"/>
          <w:sz w:val="24"/>
          <w:szCs w:val="24"/>
          <w:lang w:val="zh-TW" w:eastAsia="zh-TW"/>
        </w:rPr>
        <w:t>、设备的安装配置请严格按照任务书的要求及工艺规范进行操作。</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3</w:t>
      </w:r>
      <w:r>
        <w:rPr>
          <w:rStyle w:val="19"/>
          <w:rFonts w:ascii="仿宋" w:hAnsi="仿宋" w:eastAsia="仿宋" w:cs="仿宋"/>
          <w:sz w:val="24"/>
          <w:szCs w:val="24"/>
          <w:lang w:val="zh-TW" w:eastAsia="zh-TW"/>
        </w:rPr>
        <w:t>、参赛团队应在规定时间内完成任务书要求的内容，任务实现过程中形成的文件资料必须存储到任务书的指定位置，未存储到指定位置造成裁判组无法检查结果，相应部分不得分。</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4</w:t>
      </w:r>
      <w:r>
        <w:rPr>
          <w:rStyle w:val="19"/>
          <w:rFonts w:ascii="仿宋" w:hAnsi="仿宋" w:eastAsia="仿宋" w:cs="仿宋"/>
          <w:sz w:val="24"/>
          <w:szCs w:val="24"/>
          <w:lang w:val="zh-TW" w:eastAsia="zh-TW"/>
        </w:rPr>
        <w:t>、比赛过程中，选手认定设备或器件有故障可向裁判员提出更换；如器件或设备经测定完好属误判时，器件或设备的认定时间计入比赛时间；如果器件或设备经测定确有故障，则当场更换设备，此过程中（设备测定开始到更换完成）造成的时间损失，在比赛时间结束后，酌情对该小组进行等量的时间延迟补偿。</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5</w:t>
      </w:r>
      <w:r>
        <w:rPr>
          <w:rStyle w:val="19"/>
          <w:rFonts w:ascii="仿宋" w:hAnsi="仿宋" w:eastAsia="仿宋" w:cs="仿宋"/>
          <w:sz w:val="24"/>
          <w:szCs w:val="24"/>
          <w:lang w:val="zh-TW" w:eastAsia="zh-TW"/>
        </w:rPr>
        <w:t>、比赛过程中由于人为原因造成器件损坏，这种情况器件不予更换。</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6</w:t>
      </w:r>
      <w:r>
        <w:rPr>
          <w:rStyle w:val="19"/>
          <w:rFonts w:ascii="仿宋" w:hAnsi="仿宋" w:eastAsia="仿宋" w:cs="仿宋"/>
          <w:sz w:val="24"/>
          <w:szCs w:val="24"/>
          <w:lang w:val="zh-TW" w:eastAsia="zh-TW"/>
        </w:rPr>
        <w:t>、在裁判组宣布竞赛结束后，请选手立即停止对竞赛设备与计算机的任何操作。</w:t>
      </w:r>
    </w:p>
    <w:p>
      <w:pPr>
        <w:framePr w:w="0" w:wrap="auto" w:vAnchor="margin" w:hAnchor="text" w:yAlign="inline"/>
        <w:spacing w:line="360" w:lineRule="auto"/>
        <w:jc w:val="center"/>
        <w:rPr>
          <w:rStyle w:val="19"/>
          <w:rFonts w:ascii="宋体" w:hAnsi="宋体" w:eastAsia="宋体" w:cs="宋体"/>
          <w:b/>
          <w:bCs/>
          <w:sz w:val="24"/>
          <w:szCs w:val="24"/>
          <w:lang w:val="zh-TW" w:eastAsia="zh-TW"/>
        </w:rPr>
      </w:pPr>
      <w:r>
        <w:rPr>
          <w:rStyle w:val="19"/>
          <w:rFonts w:ascii="仿宋" w:hAnsi="仿宋" w:eastAsia="仿宋" w:cs="仿宋"/>
          <w:b/>
          <w:bCs/>
          <w:sz w:val="24"/>
          <w:szCs w:val="24"/>
          <w:lang w:val="zh-TW" w:eastAsia="zh-TW"/>
        </w:rPr>
        <w:t>第二部分竞赛平台介绍</w:t>
      </w:r>
    </w:p>
    <w:p>
      <w:pPr>
        <w:framePr w:w="0" w:wrap="auto" w:vAnchor="margin" w:hAnchor="text" w:yAlign="inline"/>
        <w:spacing w:line="360" w:lineRule="auto"/>
        <w:rPr>
          <w:rStyle w:val="19"/>
          <w:rFonts w:ascii="宋体" w:hAnsi="宋体" w:eastAsia="宋体" w:cs="宋体"/>
          <w:sz w:val="24"/>
          <w:szCs w:val="24"/>
          <w:lang w:val="zh-TW" w:eastAsia="zh-TW"/>
        </w:rPr>
      </w:pPr>
      <w:r>
        <w:rPr>
          <w:rStyle w:val="19"/>
          <w:rFonts w:ascii="仿宋" w:hAnsi="仿宋" w:eastAsia="仿宋" w:cs="仿宋"/>
          <w:sz w:val="24"/>
          <w:szCs w:val="24"/>
          <w:lang w:val="zh-TW" w:eastAsia="zh-TW"/>
        </w:rPr>
        <w:t>一、注意事项</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1</w:t>
      </w:r>
      <w:r>
        <w:rPr>
          <w:rStyle w:val="19"/>
          <w:rFonts w:ascii="仿宋" w:hAnsi="仿宋" w:eastAsia="仿宋" w:cs="仿宋"/>
          <w:sz w:val="24"/>
          <w:szCs w:val="24"/>
          <w:lang w:val="zh-TW" w:eastAsia="zh-TW"/>
        </w:rPr>
        <w:t>、检查硬件设备、电脑设备是否正常。检查竞赛所需的各项设备、软件和竞赛材料等。</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2</w:t>
      </w:r>
      <w:r>
        <w:rPr>
          <w:rStyle w:val="19"/>
          <w:rFonts w:ascii="仿宋" w:hAnsi="仿宋" w:eastAsia="仿宋" w:cs="仿宋"/>
          <w:sz w:val="24"/>
          <w:szCs w:val="24"/>
          <w:lang w:val="zh-TW" w:eastAsia="zh-TW"/>
        </w:rPr>
        <w:t>、竞赛任务中所使用的各类软件工具、软件安装文件等，都已拷贝至</w:t>
      </w:r>
      <w:r>
        <w:rPr>
          <w:rStyle w:val="19"/>
          <w:rFonts w:ascii="宋体" w:hAnsi="宋体" w:eastAsia="宋体" w:cs="宋体"/>
          <w:sz w:val="24"/>
          <w:szCs w:val="24"/>
          <w:lang w:val="en-US"/>
        </w:rPr>
        <w:t>U</w:t>
      </w:r>
      <w:r>
        <w:rPr>
          <w:rStyle w:val="19"/>
          <w:rFonts w:ascii="仿宋" w:hAnsi="仿宋" w:eastAsia="仿宋" w:cs="仿宋"/>
          <w:sz w:val="24"/>
          <w:szCs w:val="24"/>
          <w:lang w:val="zh-TW" w:eastAsia="zh-TW"/>
        </w:rPr>
        <w:t>盘上，请自行根据竞赛任务要求使用。</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3</w:t>
      </w:r>
      <w:r>
        <w:rPr>
          <w:rStyle w:val="19"/>
          <w:rFonts w:ascii="仿宋" w:hAnsi="仿宋" w:eastAsia="仿宋" w:cs="仿宋"/>
          <w:sz w:val="24"/>
          <w:szCs w:val="24"/>
          <w:lang w:val="zh-TW" w:eastAsia="zh-TW"/>
        </w:rPr>
        <w:t>、竞赛过程中请严格按照竞赛任务中的描述，对各设备进行安装配置、操作使用，对于竞赛前工位面板上已经连接好的设备，可能与后续的竞赛任务有关，请勿变动。</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4</w:t>
      </w:r>
      <w:r>
        <w:rPr>
          <w:rStyle w:val="19"/>
          <w:rFonts w:ascii="仿宋" w:hAnsi="仿宋" w:eastAsia="仿宋" w:cs="仿宋"/>
          <w:sz w:val="24"/>
          <w:szCs w:val="24"/>
          <w:lang w:val="zh-TW" w:eastAsia="zh-TW"/>
        </w:rPr>
        <w:t>、竞赛任务完成后，需要保存设备配置，不要关闭任何设备，不要拆动硬件的连接，不要对设备随意加密。</w:t>
      </w:r>
    </w:p>
    <w:p>
      <w:pPr>
        <w:framePr w:w="0" w:wrap="auto" w:vAnchor="margin" w:hAnchor="text" w:yAlign="inline"/>
        <w:spacing w:line="360" w:lineRule="auto"/>
        <w:rPr>
          <w:rStyle w:val="19"/>
          <w:rFonts w:ascii="宋体" w:hAnsi="宋体" w:eastAsia="宋体" w:cs="宋体"/>
          <w:sz w:val="24"/>
          <w:szCs w:val="24"/>
          <w:lang w:val="zh-TW" w:eastAsia="zh-TW"/>
        </w:rPr>
      </w:pPr>
      <w:r>
        <w:rPr>
          <w:rStyle w:val="19"/>
          <w:rFonts w:ascii="仿宋" w:hAnsi="仿宋" w:eastAsia="仿宋" w:cs="仿宋"/>
          <w:sz w:val="24"/>
          <w:szCs w:val="24"/>
          <w:lang w:val="zh-TW" w:eastAsia="zh-TW"/>
        </w:rPr>
        <w:t>二、竞赛环境</w:t>
      </w: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1</w:t>
      </w:r>
      <w:r>
        <w:rPr>
          <w:rStyle w:val="19"/>
          <w:rFonts w:ascii="仿宋" w:hAnsi="仿宋" w:eastAsia="仿宋" w:cs="仿宋"/>
          <w:sz w:val="24"/>
          <w:szCs w:val="24"/>
          <w:lang w:val="zh-TW" w:eastAsia="zh-TW"/>
        </w:rPr>
        <w:t>、硬件环境</w:t>
      </w:r>
    </w:p>
    <w:tbl>
      <w:tblPr>
        <w:tblStyle w:val="12"/>
        <w:tblW w:w="9204"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988"/>
        <w:gridCol w:w="4677"/>
        <w:gridCol w:w="1701"/>
        <w:gridCol w:w="851"/>
        <w:gridCol w:w="98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53"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仿宋" w:hAnsi="仿宋" w:eastAsia="仿宋" w:cs="仿宋"/>
                <w:sz w:val="24"/>
                <w:szCs w:val="24"/>
                <w:lang w:val="zh-TW" w:eastAsia="zh-TW"/>
              </w:rPr>
              <w:t>序号</w:t>
            </w:r>
          </w:p>
        </w:tc>
        <w:tc>
          <w:tcPr>
            <w:tcW w:w="46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仿宋" w:hAnsi="仿宋" w:eastAsia="仿宋" w:cs="仿宋"/>
                <w:sz w:val="24"/>
                <w:szCs w:val="24"/>
                <w:lang w:val="zh-TW" w:eastAsia="zh-TW"/>
              </w:rPr>
              <w:t>设备名称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仿宋" w:hAnsi="仿宋" w:eastAsia="仿宋" w:cs="仿宋"/>
                <w:sz w:val="24"/>
                <w:szCs w:val="24"/>
                <w:lang w:val="zh-TW" w:eastAsia="zh-TW"/>
              </w:rPr>
              <w:t>型号</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仿宋" w:hAnsi="仿宋" w:eastAsia="仿宋" w:cs="仿宋"/>
                <w:sz w:val="24"/>
                <w:szCs w:val="24"/>
                <w:lang w:val="zh-TW" w:eastAsia="zh-TW"/>
              </w:rPr>
              <w:t>单位</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仿宋" w:hAnsi="仿宋" w:eastAsia="仿宋" w:cs="仿宋"/>
                <w:sz w:val="24"/>
                <w:szCs w:val="24"/>
                <w:lang w:val="zh-TW" w:eastAsia="zh-TW"/>
              </w:rPr>
              <w:t>数量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00"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宋体" w:hAnsi="宋体" w:eastAsia="宋体" w:cs="宋体"/>
                <w:sz w:val="24"/>
                <w:szCs w:val="24"/>
                <w:lang w:val="en-US"/>
              </w:rPr>
              <w:t>1</w:t>
            </w:r>
          </w:p>
        </w:tc>
        <w:tc>
          <w:tcPr>
            <w:tcW w:w="46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kern w:val="0"/>
                <w:sz w:val="24"/>
                <w:szCs w:val="24"/>
                <w:lang w:val="zh-TW" w:eastAsia="zh-TW"/>
              </w:rPr>
              <w:t>智慧新能源实训系统</w:t>
            </w:r>
            <w:r>
              <w:rPr>
                <w:rStyle w:val="19"/>
                <w:rFonts w:ascii="仿宋" w:hAnsi="仿宋" w:eastAsia="仿宋" w:cs="仿宋"/>
                <w:sz w:val="24"/>
                <w:szCs w:val="24"/>
                <w:lang w:val="en-US"/>
              </w:rPr>
              <w:t xml:space="preserve">Rhea </w:t>
            </w:r>
            <w:r>
              <w:rPr>
                <w:rStyle w:val="19"/>
                <w:rFonts w:ascii="仿宋" w:hAnsi="仿宋" w:eastAsia="仿宋" w:cs="仿宋"/>
                <w:kern w:val="0"/>
                <w:sz w:val="24"/>
                <w:szCs w:val="24"/>
                <w:lang w:val="en-US"/>
              </w:rPr>
              <w:t>Vulcan</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kern w:val="0"/>
                <w:sz w:val="24"/>
                <w:szCs w:val="24"/>
                <w:lang w:val="en-US"/>
              </w:rPr>
              <w:t>Vulcan.sw</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sz w:val="24"/>
                <w:szCs w:val="24"/>
                <w:lang w:val="zh-TW" w:eastAsia="zh-TW"/>
              </w:rPr>
              <w:t>套</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宋体" w:hAnsi="宋体" w:eastAsia="宋体" w:cs="宋体"/>
                <w:sz w:val="24"/>
                <w:szCs w:val="24"/>
                <w:lang w:val="en-US"/>
              </w:rPr>
              <w:t>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30"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宋体" w:hAnsi="宋体" w:eastAsia="宋体" w:cs="宋体"/>
                <w:sz w:val="24"/>
                <w:szCs w:val="24"/>
                <w:lang w:val="en-US"/>
              </w:rPr>
              <w:t>2</w:t>
            </w:r>
          </w:p>
        </w:tc>
        <w:tc>
          <w:tcPr>
            <w:tcW w:w="46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sz w:val="24"/>
                <w:szCs w:val="24"/>
                <w:lang w:val="zh-TW" w:eastAsia="zh-TW"/>
              </w:rPr>
              <w:t>工作站（计算机上有标注）</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sz w:val="24"/>
                <w:szCs w:val="24"/>
                <w:lang w:val="zh-TW" w:eastAsia="zh-TW"/>
              </w:rPr>
              <w:t>台</w:t>
            </w:r>
          </w:p>
        </w:tc>
        <w:tc>
          <w:tcPr>
            <w:tcW w:w="98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宋体" w:hAnsi="宋体" w:eastAsia="宋体" w:cs="宋体"/>
                <w:sz w:val="24"/>
                <w:szCs w:val="24"/>
                <w:lang w:val="en-US"/>
              </w:rPr>
              <w:t>1</w:t>
            </w:r>
          </w:p>
        </w:tc>
      </w:tr>
    </w:tbl>
    <w:p>
      <w:pPr>
        <w:framePr w:w="0" w:wrap="auto" w:vAnchor="margin" w:hAnchor="text" w:yAlign="inline"/>
        <w:ind w:left="108" w:hanging="108"/>
        <w:jc w:val="left"/>
        <w:rPr>
          <w:rStyle w:val="19"/>
          <w:rFonts w:ascii="宋体" w:hAnsi="宋体" w:eastAsia="宋体" w:cs="宋体"/>
          <w:sz w:val="24"/>
          <w:szCs w:val="24"/>
        </w:rPr>
      </w:pPr>
    </w:p>
    <w:p>
      <w:pPr>
        <w:framePr w:w="0" w:wrap="auto" w:vAnchor="margin" w:hAnchor="text" w:yAlign="inline"/>
        <w:rPr>
          <w:rFonts w:ascii="宋体" w:hAnsi="宋体" w:eastAsia="宋体" w:cs="宋体"/>
          <w:sz w:val="24"/>
          <w:szCs w:val="24"/>
        </w:rPr>
      </w:pPr>
    </w:p>
    <w:p>
      <w:pPr>
        <w:framePr w:w="0" w:wrap="auto" w:vAnchor="margin" w:hAnchor="text" w:yAlign="inline"/>
        <w:spacing w:line="360" w:lineRule="auto"/>
        <w:rPr>
          <w:rStyle w:val="19"/>
          <w:rFonts w:ascii="宋体" w:hAnsi="宋体" w:eastAsia="宋体" w:cs="宋体"/>
          <w:sz w:val="24"/>
          <w:szCs w:val="24"/>
        </w:rPr>
      </w:pPr>
      <w:r>
        <w:rPr>
          <w:rStyle w:val="19"/>
          <w:rFonts w:ascii="宋体" w:hAnsi="宋体" w:eastAsia="宋体" w:cs="宋体"/>
          <w:sz w:val="24"/>
          <w:szCs w:val="24"/>
          <w:lang w:val="en-US"/>
        </w:rPr>
        <w:t>2</w:t>
      </w:r>
      <w:r>
        <w:rPr>
          <w:rStyle w:val="19"/>
          <w:rFonts w:ascii="仿宋" w:hAnsi="仿宋" w:eastAsia="仿宋" w:cs="仿宋"/>
          <w:sz w:val="24"/>
          <w:szCs w:val="24"/>
          <w:lang w:val="zh-TW" w:eastAsia="zh-TW"/>
        </w:rPr>
        <w:t>、辅材及工具</w:t>
      </w:r>
      <w:r>
        <w:rPr>
          <w:rStyle w:val="19"/>
          <w:rFonts w:ascii="宋体" w:hAnsi="宋体" w:eastAsia="宋体" w:cs="宋体"/>
          <w:sz w:val="24"/>
          <w:szCs w:val="24"/>
          <w:lang w:val="en-US"/>
        </w:rPr>
        <w:t>(</w:t>
      </w:r>
      <w:r>
        <w:rPr>
          <w:rStyle w:val="19"/>
          <w:rFonts w:ascii="仿宋" w:hAnsi="仿宋" w:eastAsia="仿宋" w:cs="仿宋"/>
          <w:sz w:val="24"/>
          <w:szCs w:val="24"/>
          <w:lang w:val="zh-TW" w:eastAsia="zh-TW"/>
        </w:rPr>
        <w:t>工位上已经安装部品不在表中列出</w:t>
      </w:r>
      <w:r>
        <w:rPr>
          <w:rStyle w:val="19"/>
          <w:rFonts w:ascii="宋体" w:hAnsi="宋体" w:eastAsia="宋体" w:cs="宋体"/>
          <w:sz w:val="24"/>
          <w:szCs w:val="24"/>
          <w:lang w:val="en-US"/>
        </w:rPr>
        <w:t>)</w:t>
      </w:r>
    </w:p>
    <w:tbl>
      <w:tblPr>
        <w:tblStyle w:val="12"/>
        <w:tblW w:w="9209"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988"/>
        <w:gridCol w:w="7229"/>
        <w:gridCol w:w="99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53"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仿宋" w:hAnsi="仿宋" w:eastAsia="仿宋" w:cs="仿宋"/>
                <w:sz w:val="24"/>
                <w:szCs w:val="24"/>
                <w:lang w:val="zh-TW" w:eastAsia="zh-TW"/>
              </w:rPr>
              <w:t>序号</w:t>
            </w:r>
          </w:p>
        </w:tc>
        <w:tc>
          <w:tcPr>
            <w:tcW w:w="72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仿宋" w:hAnsi="仿宋" w:eastAsia="仿宋" w:cs="仿宋"/>
                <w:sz w:val="24"/>
                <w:szCs w:val="24"/>
                <w:lang w:val="zh-TW" w:eastAsia="zh-TW"/>
              </w:rPr>
              <w:t>名称</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仿宋" w:hAnsi="仿宋" w:eastAsia="仿宋" w:cs="仿宋"/>
                <w:sz w:val="24"/>
                <w:szCs w:val="24"/>
                <w:lang w:val="zh-TW" w:eastAsia="zh-TW"/>
              </w:rPr>
              <w:t>数量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00"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宋体" w:hAnsi="宋体" w:eastAsia="宋体" w:cs="宋体"/>
                <w:sz w:val="24"/>
                <w:szCs w:val="24"/>
                <w:lang w:val="en-US"/>
              </w:rPr>
              <w:t>1</w:t>
            </w:r>
          </w:p>
        </w:tc>
        <w:tc>
          <w:tcPr>
            <w:tcW w:w="72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sz w:val="24"/>
                <w:szCs w:val="24"/>
                <w:lang w:val="zh-TW" w:eastAsia="zh-TW"/>
              </w:rPr>
              <w:t>标准工具包</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宋体" w:hAnsi="宋体" w:eastAsia="宋体" w:cs="宋体"/>
                <w:kern w:val="0"/>
                <w:sz w:val="24"/>
                <w:szCs w:val="24"/>
                <w:lang w:val="en-US"/>
              </w:rPr>
              <w:t>1</w:t>
            </w:r>
            <w:r>
              <w:rPr>
                <w:rStyle w:val="19"/>
                <w:rFonts w:ascii="仿宋" w:hAnsi="仿宋" w:eastAsia="仿宋" w:cs="仿宋"/>
                <w:kern w:val="0"/>
                <w:sz w:val="24"/>
                <w:szCs w:val="24"/>
                <w:lang w:val="zh-TW" w:eastAsia="zh-TW"/>
              </w:rPr>
              <w:t>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00"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宋体" w:hAnsi="宋体" w:eastAsia="宋体" w:cs="宋体"/>
                <w:sz w:val="24"/>
                <w:szCs w:val="24"/>
                <w:lang w:val="en-US"/>
              </w:rPr>
              <w:t>2</w:t>
            </w:r>
          </w:p>
        </w:tc>
        <w:tc>
          <w:tcPr>
            <w:tcW w:w="72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kern w:val="0"/>
                <w:sz w:val="24"/>
                <w:szCs w:val="24"/>
                <w:lang w:val="en-US"/>
              </w:rPr>
              <w:t>Vulcan.sw</w:t>
            </w:r>
            <w:r>
              <w:rPr>
                <w:rStyle w:val="19"/>
                <w:rFonts w:ascii="仿宋" w:hAnsi="仿宋" w:eastAsia="仿宋" w:cs="仿宋"/>
                <w:kern w:val="0"/>
                <w:sz w:val="24"/>
                <w:szCs w:val="24"/>
                <w:lang w:val="zh-TW" w:eastAsia="zh-TW"/>
              </w:rPr>
              <w:t>实训标准耗材包</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宋体" w:hAnsi="宋体" w:eastAsia="宋体" w:cs="宋体"/>
                <w:kern w:val="0"/>
                <w:sz w:val="24"/>
                <w:szCs w:val="24"/>
                <w:lang w:val="en-US"/>
              </w:rPr>
              <w:t>1</w:t>
            </w:r>
            <w:r>
              <w:rPr>
                <w:rStyle w:val="19"/>
                <w:rFonts w:ascii="仿宋" w:hAnsi="仿宋" w:eastAsia="仿宋" w:cs="仿宋"/>
                <w:kern w:val="0"/>
                <w:sz w:val="24"/>
                <w:szCs w:val="24"/>
                <w:lang w:val="zh-TW" w:eastAsia="zh-TW"/>
              </w:rPr>
              <w:t>包</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00"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宋体" w:hAnsi="宋体" w:eastAsia="宋体" w:cs="宋体"/>
                <w:sz w:val="24"/>
                <w:szCs w:val="24"/>
                <w:lang w:val="en-US"/>
              </w:rPr>
              <w:t>3</w:t>
            </w:r>
          </w:p>
        </w:tc>
        <w:tc>
          <w:tcPr>
            <w:tcW w:w="72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sz w:val="24"/>
                <w:szCs w:val="24"/>
                <w:lang w:val="zh-TW" w:eastAsia="zh-TW"/>
              </w:rPr>
              <w:t>笔</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宋体" w:hAnsi="宋体" w:eastAsia="宋体" w:cs="宋体"/>
                <w:sz w:val="24"/>
                <w:szCs w:val="24"/>
                <w:lang w:val="en-US"/>
              </w:rPr>
              <w:t>3</w:t>
            </w:r>
            <w:r>
              <w:rPr>
                <w:rStyle w:val="19"/>
                <w:rFonts w:ascii="仿宋" w:hAnsi="仿宋" w:eastAsia="仿宋" w:cs="仿宋"/>
                <w:sz w:val="24"/>
                <w:szCs w:val="24"/>
                <w:lang w:val="zh-TW" w:eastAsia="zh-TW"/>
              </w:rPr>
              <w:t>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300" w:hRule="atLeast"/>
        </w:trPr>
        <w:tc>
          <w:tcPr>
            <w:tcW w:w="98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rFonts w:ascii="宋体" w:hAnsi="宋体" w:eastAsia="宋体" w:cs="宋体"/>
                <w:sz w:val="24"/>
                <w:szCs w:val="24"/>
                <w:lang w:val="en-US"/>
              </w:rPr>
              <w:t>4</w:t>
            </w:r>
          </w:p>
        </w:tc>
        <w:tc>
          <w:tcPr>
            <w:tcW w:w="722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宋体" w:hAnsi="宋体" w:eastAsia="宋体" w:cs="宋体"/>
                <w:sz w:val="24"/>
                <w:szCs w:val="24"/>
                <w:lang w:val="en-US"/>
              </w:rPr>
              <w:t>A4</w:t>
            </w:r>
            <w:r>
              <w:rPr>
                <w:rStyle w:val="19"/>
                <w:rFonts w:ascii="仿宋" w:hAnsi="仿宋" w:eastAsia="仿宋" w:cs="仿宋"/>
                <w:sz w:val="24"/>
                <w:szCs w:val="24"/>
                <w:lang w:val="zh-TW" w:eastAsia="zh-TW"/>
              </w:rPr>
              <w:t>纸</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0" w:wrap="auto" w:vAnchor="margin" w:hAnchor="text" w:yAlign="inline"/>
              <w:spacing w:line="360" w:lineRule="auto"/>
            </w:pPr>
            <w:r>
              <w:rPr>
                <w:rStyle w:val="19"/>
                <w:rFonts w:ascii="仿宋" w:hAnsi="仿宋" w:eastAsia="仿宋" w:cs="仿宋"/>
                <w:sz w:val="24"/>
                <w:szCs w:val="24"/>
                <w:lang w:val="zh-TW" w:eastAsia="zh-TW"/>
              </w:rPr>
              <w:t>若干</w:t>
            </w:r>
          </w:p>
        </w:tc>
      </w:tr>
    </w:tbl>
    <w:p>
      <w:pPr>
        <w:framePr w:w="0" w:wrap="auto" w:vAnchor="margin" w:hAnchor="text" w:yAlign="inline"/>
        <w:ind w:left="108" w:hanging="108"/>
        <w:jc w:val="left"/>
        <w:rPr>
          <w:rStyle w:val="19"/>
          <w:rFonts w:ascii="宋体" w:hAnsi="宋体" w:eastAsia="宋体" w:cs="宋体"/>
          <w:sz w:val="24"/>
          <w:szCs w:val="24"/>
        </w:rPr>
      </w:pPr>
    </w:p>
    <w:p>
      <w:pPr>
        <w:framePr w:w="0" w:wrap="auto" w:vAnchor="margin" w:hAnchor="text" w:yAlign="inline"/>
        <w:rPr>
          <w:rFonts w:ascii="宋体" w:hAnsi="宋体" w:eastAsia="宋体" w:cs="宋体"/>
          <w:sz w:val="24"/>
          <w:szCs w:val="24"/>
        </w:rPr>
      </w:pPr>
    </w:p>
    <w:p>
      <w:pPr>
        <w:framePr w:w="0" w:wrap="auto" w:vAnchor="margin" w:hAnchor="text" w:yAlign="inline"/>
        <w:spacing w:line="360" w:lineRule="auto"/>
        <w:jc w:val="center"/>
        <w:rPr>
          <w:rFonts w:ascii="宋体" w:hAnsi="宋体" w:eastAsia="宋体" w:cs="宋体"/>
          <w:b/>
          <w:bCs/>
          <w:sz w:val="24"/>
          <w:szCs w:val="24"/>
        </w:rPr>
      </w:pPr>
    </w:p>
    <w:p>
      <w:pPr>
        <w:framePr w:w="0" w:wrap="auto" w:vAnchor="margin" w:hAnchor="text" w:yAlign="inline"/>
        <w:spacing w:line="360" w:lineRule="auto"/>
        <w:jc w:val="center"/>
        <w:rPr>
          <w:rStyle w:val="19"/>
          <w:rFonts w:ascii="宋体" w:hAnsi="宋体" w:eastAsia="宋体" w:cs="宋体"/>
          <w:b/>
          <w:bCs/>
          <w:sz w:val="24"/>
          <w:szCs w:val="24"/>
          <w:lang w:val="zh-TW" w:eastAsia="zh-TW"/>
        </w:rPr>
      </w:pPr>
      <w:r>
        <w:rPr>
          <w:rStyle w:val="19"/>
          <w:rFonts w:ascii="仿宋" w:hAnsi="仿宋" w:eastAsia="仿宋" w:cs="仿宋"/>
          <w:b/>
          <w:bCs/>
          <w:sz w:val="24"/>
          <w:szCs w:val="24"/>
          <w:lang w:val="zh-TW" w:eastAsia="zh-TW"/>
        </w:rPr>
        <w:t>第三部分竞赛任务</w:t>
      </w:r>
    </w:p>
    <w:p>
      <w:pPr>
        <w:framePr w:w="0" w:wrap="auto" w:vAnchor="margin" w:hAnchor="text" w:yAlign="inline"/>
        <w:spacing w:line="360" w:lineRule="auto"/>
        <w:jc w:val="center"/>
        <w:rPr>
          <w:rFonts w:ascii="宋体" w:hAnsi="宋体" w:eastAsia="宋体" w:cs="宋体"/>
          <w:b/>
          <w:bCs/>
          <w:sz w:val="24"/>
          <w:szCs w:val="24"/>
        </w:rPr>
      </w:pPr>
    </w:p>
    <w:p>
      <w:pPr>
        <w:framePr w:w="0" w:wrap="auto" w:vAnchor="margin" w:hAnchor="text" w:yAlign="inline"/>
        <w:spacing w:line="360" w:lineRule="auto"/>
        <w:ind w:firstLine="482"/>
        <w:jc w:val="left"/>
        <w:rPr>
          <w:rStyle w:val="19"/>
          <w:rFonts w:ascii="宋体" w:hAnsi="宋体" w:eastAsia="宋体" w:cs="宋体"/>
          <w:b/>
          <w:bCs/>
          <w:sz w:val="24"/>
          <w:szCs w:val="24"/>
          <w:lang w:val="zh-TW" w:eastAsia="zh-TW"/>
        </w:rPr>
      </w:pPr>
      <w:r>
        <w:rPr>
          <w:rStyle w:val="19"/>
          <w:rFonts w:ascii="仿宋" w:hAnsi="仿宋" w:eastAsia="仿宋" w:cs="仿宋"/>
          <w:b/>
          <w:bCs/>
          <w:sz w:val="24"/>
          <w:szCs w:val="24"/>
          <w:lang w:val="zh-TW" w:eastAsia="zh-TW"/>
        </w:rPr>
        <w:t>一、业务描述</w:t>
      </w:r>
    </w:p>
    <w:p>
      <w:pPr>
        <w:framePr w:w="0" w:wrap="auto" w:vAnchor="margin" w:hAnchor="text" w:yAlign="inline"/>
        <w:spacing w:line="360" w:lineRule="auto"/>
        <w:ind w:firstLine="480"/>
        <w:jc w:val="left"/>
        <w:rPr>
          <w:rStyle w:val="19"/>
          <w:rFonts w:ascii="宋体" w:hAnsi="宋体" w:eastAsia="宋体" w:cs="宋体"/>
          <w:sz w:val="24"/>
          <w:szCs w:val="24"/>
        </w:rPr>
      </w:pPr>
      <w:r>
        <w:rPr>
          <w:rStyle w:val="19"/>
          <w:rFonts w:ascii="宋体" w:hAnsi="宋体" w:eastAsia="宋体" w:cs="宋体"/>
          <w:sz w:val="24"/>
          <w:szCs w:val="24"/>
          <w:lang w:val="en-US"/>
        </w:rPr>
        <w:t>1</w:t>
      </w:r>
      <w:r>
        <w:rPr>
          <w:rStyle w:val="19"/>
          <w:rFonts w:ascii="仿宋" w:hAnsi="仿宋" w:eastAsia="仿宋" w:cs="仿宋"/>
          <w:sz w:val="24"/>
          <w:szCs w:val="24"/>
          <w:lang w:val="zh-TW" w:eastAsia="zh-TW"/>
        </w:rPr>
        <w:t>、东澳岛地理位置</w:t>
      </w:r>
    </w:p>
    <w:p>
      <w:pPr>
        <w:framePr w:w="0" w:wrap="auto" w:vAnchor="margin" w:hAnchor="text" w:yAlign="inline"/>
        <w:spacing w:line="360" w:lineRule="auto"/>
        <w:ind w:firstLine="480"/>
        <w:jc w:val="left"/>
        <w:rPr>
          <w:rStyle w:val="19"/>
          <w:rFonts w:ascii="宋体" w:hAnsi="宋体" w:eastAsia="宋体" w:cs="宋体"/>
          <w:sz w:val="24"/>
          <w:szCs w:val="24"/>
        </w:rPr>
      </w:pPr>
      <w:r>
        <w:rPr>
          <w:rStyle w:val="19"/>
          <w:rFonts w:ascii="仿宋" w:hAnsi="仿宋" w:eastAsia="仿宋" w:cs="仿宋"/>
          <w:sz w:val="24"/>
          <w:szCs w:val="24"/>
          <w:lang w:val="zh-TW" w:eastAsia="zh-TW"/>
        </w:rPr>
        <w:t>东澳岛位于东经</w:t>
      </w:r>
      <w:r>
        <w:rPr>
          <w:rStyle w:val="19"/>
          <w:rFonts w:ascii="宋体" w:hAnsi="宋体" w:eastAsia="宋体" w:cs="宋体"/>
          <w:sz w:val="24"/>
          <w:szCs w:val="24"/>
          <w:lang w:val="en-US"/>
        </w:rPr>
        <w:t>113.7</w:t>
      </w:r>
      <w:r>
        <w:rPr>
          <w:rStyle w:val="19"/>
          <w:rFonts w:ascii="仿宋" w:hAnsi="仿宋" w:eastAsia="仿宋" w:cs="仿宋"/>
          <w:sz w:val="24"/>
          <w:szCs w:val="24"/>
          <w:lang w:val="zh-TW" w:eastAsia="zh-TW"/>
        </w:rPr>
        <w:t>度，北纬</w:t>
      </w:r>
      <w:r>
        <w:rPr>
          <w:rStyle w:val="19"/>
          <w:rFonts w:ascii="宋体" w:hAnsi="宋体" w:eastAsia="宋体" w:cs="宋体"/>
          <w:sz w:val="24"/>
          <w:szCs w:val="24"/>
          <w:lang w:val="en-US"/>
        </w:rPr>
        <w:t>22.0</w:t>
      </w:r>
      <w:r>
        <w:rPr>
          <w:rStyle w:val="19"/>
          <w:rFonts w:ascii="仿宋" w:hAnsi="仿宋" w:eastAsia="仿宋" w:cs="仿宋"/>
          <w:sz w:val="24"/>
          <w:szCs w:val="24"/>
          <w:lang w:val="zh-TW" w:eastAsia="zh-TW"/>
        </w:rPr>
        <w:t>度，在珠海市香洲区东南部，距离香洲</w:t>
      </w:r>
      <w:r>
        <w:rPr>
          <w:rStyle w:val="19"/>
          <w:rFonts w:ascii="宋体" w:hAnsi="宋体" w:eastAsia="宋体" w:cs="宋体"/>
          <w:sz w:val="24"/>
          <w:szCs w:val="24"/>
          <w:lang w:val="en-US"/>
        </w:rPr>
        <w:t>30</w:t>
      </w:r>
      <w:r>
        <w:rPr>
          <w:rStyle w:val="19"/>
          <w:rFonts w:ascii="仿宋" w:hAnsi="仿宋" w:eastAsia="仿宋" w:cs="仿宋"/>
          <w:sz w:val="24"/>
          <w:szCs w:val="24"/>
          <w:lang w:val="zh-TW" w:eastAsia="zh-TW"/>
        </w:rPr>
        <w:t>公里，万山群岛中部。面积约</w:t>
      </w:r>
      <w:r>
        <w:rPr>
          <w:rStyle w:val="19"/>
          <w:rFonts w:ascii="宋体" w:hAnsi="宋体" w:eastAsia="宋体" w:cs="宋体"/>
          <w:sz w:val="24"/>
          <w:szCs w:val="24"/>
          <w:lang w:val="en-US"/>
        </w:rPr>
        <w:t>4.663</w:t>
      </w:r>
      <w:r>
        <w:rPr>
          <w:rStyle w:val="19"/>
          <w:rFonts w:ascii="仿宋" w:hAnsi="仿宋" w:eastAsia="仿宋" w:cs="仿宋"/>
          <w:sz w:val="24"/>
          <w:szCs w:val="24"/>
          <w:lang w:val="zh-TW" w:eastAsia="zh-TW"/>
        </w:rPr>
        <w:t>平方公里。东澳岛位于万山群岛的中南部，是百岛之市珠海市旅游的经典岛屿。东澳岛旅游开发项目以东澳岛整岛开发的大概念规划设计，充分利用东澳岛的自然景观，实现低碳节能的环保理念。玲玎海岸项目具备三大功能，一是国际会议功能，二是休闲度假功能，三是海上娱乐功能。包括一轴、两翼、三湾、五片区。一轴，即根据东澳岛的地形地貌，从岛的中心自东而西划出一条中轴线，形成两翼。三湾即南沙湾、大竹湾、小竹湾三个天然海洋景观，以浪漫、现代、休闲为主。五片区即酒店会议中心区、贵宾酒店别墅区、高尔夫俱乐部及高档别墅区、东澳风情渔人码头区及历史文化景点区。预计三年建成，届时，东澳岛精品酒店、会议度假酒店、高级别墅式酒店、会所酒店、产权式酒店等各类酒店房间达</w:t>
      </w:r>
      <w:r>
        <w:rPr>
          <w:rStyle w:val="19"/>
          <w:rFonts w:ascii="宋体" w:hAnsi="宋体" w:eastAsia="宋体" w:cs="宋体"/>
          <w:sz w:val="24"/>
          <w:szCs w:val="24"/>
          <w:lang w:val="en-US"/>
        </w:rPr>
        <w:t>820</w:t>
      </w:r>
      <w:r>
        <w:rPr>
          <w:rStyle w:val="19"/>
          <w:rFonts w:ascii="仿宋" w:hAnsi="仿宋" w:eastAsia="仿宋" w:cs="仿宋"/>
          <w:sz w:val="24"/>
          <w:szCs w:val="24"/>
          <w:lang w:val="zh-TW" w:eastAsia="zh-TW"/>
        </w:rPr>
        <w:t>多间</w:t>
      </w:r>
      <w:r>
        <w:rPr>
          <w:rStyle w:val="19"/>
          <w:rFonts w:ascii="宋体" w:hAnsi="宋体" w:eastAsia="宋体" w:cs="宋体"/>
          <w:sz w:val="24"/>
          <w:szCs w:val="24"/>
          <w:lang w:val="en-US"/>
        </w:rPr>
        <w:t>(</w:t>
      </w:r>
      <w:r>
        <w:rPr>
          <w:rStyle w:val="19"/>
          <w:rFonts w:ascii="仿宋" w:hAnsi="仿宋" w:eastAsia="仿宋" w:cs="仿宋"/>
          <w:sz w:val="24"/>
          <w:szCs w:val="24"/>
          <w:lang w:val="zh-TW" w:eastAsia="zh-TW"/>
        </w:rPr>
        <w:t>套</w:t>
      </w:r>
      <w:r>
        <w:rPr>
          <w:rStyle w:val="19"/>
          <w:rFonts w:ascii="宋体" w:hAnsi="宋体" w:eastAsia="宋体" w:cs="宋体"/>
          <w:sz w:val="24"/>
          <w:szCs w:val="24"/>
          <w:lang w:val="en-US"/>
        </w:rPr>
        <w:t>)</w:t>
      </w:r>
      <w:r>
        <w:rPr>
          <w:rStyle w:val="19"/>
          <w:rFonts w:ascii="仿宋" w:hAnsi="仿宋" w:eastAsia="仿宋" w:cs="仿宋"/>
          <w:sz w:val="24"/>
          <w:szCs w:val="24"/>
          <w:lang w:val="zh-TW" w:eastAsia="zh-TW"/>
        </w:rPr>
        <w:t>，会议中心可容纳</w:t>
      </w:r>
      <w:r>
        <w:rPr>
          <w:rStyle w:val="19"/>
          <w:rFonts w:ascii="宋体" w:hAnsi="宋体" w:eastAsia="宋体" w:cs="宋体"/>
          <w:sz w:val="24"/>
          <w:szCs w:val="24"/>
          <w:lang w:val="en-US"/>
        </w:rPr>
        <w:t>1000</w:t>
      </w:r>
      <w:r>
        <w:rPr>
          <w:rStyle w:val="19"/>
          <w:rFonts w:ascii="仿宋" w:hAnsi="仿宋" w:eastAsia="仿宋" w:cs="仿宋"/>
          <w:sz w:val="24"/>
          <w:szCs w:val="24"/>
          <w:lang w:val="zh-TW" w:eastAsia="zh-TW"/>
        </w:rPr>
        <w:t>人左右，成为集观光旅游、休闲度假、水上运动中心、会议培训、高级住所和高级运动球场和游艇码头为一体的国家</w:t>
      </w:r>
      <w:r>
        <w:rPr>
          <w:rStyle w:val="19"/>
          <w:rFonts w:ascii="宋体" w:hAnsi="宋体" w:eastAsia="宋体" w:cs="宋体"/>
          <w:sz w:val="24"/>
          <w:szCs w:val="24"/>
          <w:lang w:val="en-US"/>
        </w:rPr>
        <w:t>4A</w:t>
      </w:r>
      <w:r>
        <w:rPr>
          <w:rStyle w:val="19"/>
          <w:rFonts w:ascii="仿宋" w:hAnsi="仿宋" w:eastAsia="仿宋" w:cs="仿宋"/>
          <w:sz w:val="24"/>
          <w:szCs w:val="24"/>
          <w:lang w:val="zh-TW" w:eastAsia="zh-TW"/>
        </w:rPr>
        <w:t>旅游景点。</w:t>
      </w:r>
    </w:p>
    <w:p>
      <w:pPr>
        <w:framePr w:w="0" w:wrap="auto" w:vAnchor="margin" w:hAnchor="text" w:yAlign="inline"/>
        <w:spacing w:line="360" w:lineRule="auto"/>
        <w:ind w:firstLine="480"/>
        <w:jc w:val="left"/>
        <w:rPr>
          <w:rStyle w:val="19"/>
          <w:rFonts w:ascii="宋体" w:hAnsi="宋体" w:eastAsia="宋体" w:cs="宋体"/>
          <w:sz w:val="24"/>
          <w:szCs w:val="24"/>
        </w:rPr>
      </w:pPr>
      <w:r>
        <w:rPr>
          <w:rStyle w:val="19"/>
          <w:rFonts w:ascii="宋体" w:hAnsi="宋体" w:eastAsia="宋体" w:cs="宋体"/>
          <w:sz w:val="24"/>
          <w:szCs w:val="24"/>
          <w:lang w:val="en-US"/>
        </w:rPr>
        <w:t>2</w:t>
      </w:r>
      <w:r>
        <w:rPr>
          <w:rStyle w:val="19"/>
          <w:rFonts w:ascii="仿宋" w:hAnsi="仿宋" w:eastAsia="仿宋" w:cs="仿宋"/>
          <w:sz w:val="24"/>
          <w:szCs w:val="24"/>
          <w:lang w:val="zh-TW" w:eastAsia="zh-TW"/>
        </w:rPr>
        <w:t>、东澳岛耗能分析</w:t>
      </w:r>
    </w:p>
    <w:p>
      <w:pPr>
        <w:framePr w:w="0" w:wrap="auto" w:vAnchor="margin" w:hAnchor="text" w:yAlign="inline"/>
        <w:spacing w:line="360" w:lineRule="auto"/>
        <w:ind w:firstLine="480"/>
        <w:jc w:val="left"/>
        <w:rPr>
          <w:rStyle w:val="19"/>
          <w:rFonts w:ascii="宋体" w:hAnsi="宋体" w:eastAsia="宋体" w:cs="宋体"/>
          <w:sz w:val="24"/>
          <w:szCs w:val="24"/>
        </w:rPr>
      </w:pPr>
      <w:r>
        <w:rPr>
          <w:rStyle w:val="19"/>
          <w:rFonts w:ascii="仿宋" w:hAnsi="仿宋" w:eastAsia="仿宋" w:cs="仿宋"/>
          <w:sz w:val="24"/>
          <w:szCs w:val="24"/>
          <w:lang w:val="zh-TW" w:eastAsia="zh-TW"/>
        </w:rPr>
        <w:t>根据海岛的发展规划，海岛将为旅游开发配套五星级宾馆，预计</w:t>
      </w:r>
      <w:r>
        <w:rPr>
          <w:rStyle w:val="19"/>
          <w:rFonts w:ascii="宋体" w:hAnsi="宋体" w:eastAsia="宋体" w:cs="宋体"/>
          <w:sz w:val="24"/>
          <w:szCs w:val="24"/>
          <w:lang w:val="en-US"/>
        </w:rPr>
        <w:t>5</w:t>
      </w:r>
      <w:r>
        <w:rPr>
          <w:rStyle w:val="19"/>
          <w:rFonts w:ascii="仿宋" w:hAnsi="仿宋" w:eastAsia="仿宋" w:cs="仿宋"/>
          <w:sz w:val="24"/>
          <w:szCs w:val="24"/>
          <w:lang w:val="zh-TW" w:eastAsia="zh-TW"/>
        </w:rPr>
        <w:t>年内海岛的用能负荷将达到</w:t>
      </w:r>
      <w:r>
        <w:rPr>
          <w:rStyle w:val="19"/>
          <w:rFonts w:ascii="宋体" w:hAnsi="宋体" w:eastAsia="宋体" w:cs="宋体"/>
          <w:sz w:val="24"/>
          <w:szCs w:val="24"/>
          <w:lang w:val="en-US"/>
        </w:rPr>
        <w:t>5000KW</w:t>
      </w:r>
      <w:r>
        <w:rPr>
          <w:rStyle w:val="19"/>
          <w:rFonts w:ascii="仿宋" w:hAnsi="仿宋" w:eastAsia="仿宋" w:cs="仿宋"/>
          <w:sz w:val="24"/>
          <w:szCs w:val="24"/>
          <w:lang w:val="zh-TW" w:eastAsia="zh-TW"/>
        </w:rPr>
        <w:t>，请根据海岛的地形，选择合适的能源装备部署建设新能源装置，以满足</w:t>
      </w:r>
      <w:r>
        <w:rPr>
          <w:rStyle w:val="19"/>
          <w:rFonts w:ascii="宋体" w:hAnsi="宋体" w:eastAsia="宋体" w:cs="宋体"/>
          <w:sz w:val="24"/>
          <w:szCs w:val="24"/>
          <w:lang w:val="en-US"/>
        </w:rPr>
        <w:t>5</w:t>
      </w:r>
      <w:r>
        <w:rPr>
          <w:rStyle w:val="19"/>
          <w:rFonts w:ascii="仿宋" w:hAnsi="仿宋" w:eastAsia="仿宋" w:cs="仿宋"/>
          <w:sz w:val="24"/>
          <w:szCs w:val="24"/>
          <w:lang w:val="zh-TW" w:eastAsia="zh-TW"/>
        </w:rPr>
        <w:t>年内的需求。按照每天平均用电</w:t>
      </w:r>
      <w:r>
        <w:rPr>
          <w:rStyle w:val="19"/>
          <w:rFonts w:ascii="宋体" w:hAnsi="宋体" w:eastAsia="宋体" w:cs="宋体"/>
          <w:sz w:val="24"/>
          <w:szCs w:val="24"/>
          <w:lang w:val="en-US"/>
        </w:rPr>
        <w:t>16</w:t>
      </w:r>
      <w:r>
        <w:rPr>
          <w:rStyle w:val="19"/>
          <w:rFonts w:ascii="仿宋" w:hAnsi="仿宋" w:eastAsia="仿宋" w:cs="仿宋"/>
          <w:sz w:val="24"/>
          <w:szCs w:val="24"/>
          <w:lang w:val="zh-TW" w:eastAsia="zh-TW"/>
        </w:rPr>
        <w:t>个小时计算东澳岛平均每天耗能</w:t>
      </w:r>
      <w:r>
        <w:rPr>
          <w:rStyle w:val="19"/>
          <w:rFonts w:ascii="宋体" w:hAnsi="宋体" w:eastAsia="宋体" w:cs="宋体"/>
          <w:sz w:val="24"/>
          <w:szCs w:val="24"/>
          <w:lang w:val="en-US"/>
        </w:rPr>
        <w:t>80000KWh</w:t>
      </w:r>
      <w:r>
        <w:rPr>
          <w:rStyle w:val="19"/>
          <w:rFonts w:ascii="仿宋" w:hAnsi="仿宋" w:eastAsia="仿宋" w:cs="仿宋"/>
          <w:sz w:val="24"/>
          <w:szCs w:val="24"/>
          <w:lang w:val="zh-TW" w:eastAsia="zh-TW"/>
        </w:rPr>
        <w:t>，其中空调制冷、制热耗能为</w:t>
      </w:r>
      <w:r>
        <w:rPr>
          <w:rStyle w:val="19"/>
          <w:rFonts w:ascii="宋体" w:hAnsi="宋体" w:eastAsia="宋体" w:cs="宋体"/>
          <w:sz w:val="24"/>
          <w:szCs w:val="24"/>
          <w:lang w:val="en-US"/>
        </w:rPr>
        <w:t>25%</w:t>
      </w:r>
      <w:r>
        <w:rPr>
          <w:rStyle w:val="19"/>
          <w:rFonts w:ascii="仿宋" w:hAnsi="仿宋" w:eastAsia="仿宋" w:cs="仿宋"/>
          <w:sz w:val="24"/>
          <w:szCs w:val="24"/>
          <w:lang w:val="zh-TW" w:eastAsia="zh-TW"/>
        </w:rPr>
        <w:t>。该岛屿年可提供生物质</w:t>
      </w:r>
      <w:r>
        <w:rPr>
          <w:rStyle w:val="19"/>
          <w:rFonts w:ascii="宋体" w:hAnsi="宋体" w:eastAsia="宋体" w:cs="宋体"/>
          <w:sz w:val="24"/>
          <w:szCs w:val="24"/>
          <w:lang w:val="en-US"/>
        </w:rPr>
        <w:t>14000</w:t>
      </w:r>
      <w:r>
        <w:rPr>
          <w:rStyle w:val="19"/>
          <w:rFonts w:ascii="仿宋" w:hAnsi="仿宋" w:eastAsia="仿宋" w:cs="仿宋"/>
          <w:sz w:val="24"/>
          <w:szCs w:val="24"/>
          <w:lang w:val="zh-TW" w:eastAsia="zh-TW"/>
        </w:rPr>
        <w:t>吨。每天实际用能负荷减小幅度为</w:t>
      </w:r>
      <w:r>
        <w:rPr>
          <w:rStyle w:val="19"/>
          <w:rFonts w:ascii="宋体" w:hAnsi="宋体" w:eastAsia="宋体" w:cs="宋体"/>
          <w:sz w:val="24"/>
          <w:szCs w:val="24"/>
          <w:lang w:val="en-US"/>
        </w:rPr>
        <w:t>50%</w:t>
      </w:r>
      <w:r>
        <w:rPr>
          <w:rStyle w:val="19"/>
          <w:rFonts w:ascii="仿宋" w:hAnsi="仿宋" w:eastAsia="仿宋" w:cs="仿宋"/>
          <w:sz w:val="24"/>
          <w:szCs w:val="24"/>
          <w:lang w:val="zh-TW" w:eastAsia="zh-TW"/>
        </w:rPr>
        <w:t>。</w:t>
      </w:r>
    </w:p>
    <w:p>
      <w:pPr>
        <w:framePr w:w="0" w:wrap="auto" w:vAnchor="margin" w:hAnchor="text" w:yAlign="inline"/>
        <w:spacing w:line="360" w:lineRule="auto"/>
        <w:ind w:firstLine="480"/>
        <w:jc w:val="left"/>
        <w:rPr>
          <w:rStyle w:val="19"/>
          <w:rFonts w:ascii="宋体" w:hAnsi="宋体" w:eastAsia="宋体" w:cs="宋体"/>
          <w:sz w:val="24"/>
          <w:szCs w:val="24"/>
        </w:rPr>
      </w:pPr>
      <w:r>
        <w:rPr>
          <w:rStyle w:val="19"/>
          <w:rFonts w:ascii="宋体" w:hAnsi="宋体" w:eastAsia="宋体" w:cs="宋体"/>
          <w:sz w:val="24"/>
          <w:szCs w:val="24"/>
          <w:lang w:val="en-US"/>
        </w:rPr>
        <w:t>3</w:t>
      </w:r>
      <w:r>
        <w:rPr>
          <w:rStyle w:val="19"/>
          <w:rFonts w:ascii="仿宋" w:hAnsi="仿宋" w:eastAsia="仿宋" w:cs="仿宋"/>
          <w:sz w:val="24"/>
          <w:szCs w:val="24"/>
          <w:lang w:val="zh-TW" w:eastAsia="zh-TW"/>
        </w:rPr>
        <w:t>、光伏电子工程项目</w:t>
      </w:r>
    </w:p>
    <w:p>
      <w:pPr>
        <w:framePr w:w="0" w:wrap="auto" w:vAnchor="margin" w:hAnchor="text" w:yAlign="inline"/>
        <w:spacing w:line="360" w:lineRule="auto"/>
        <w:ind w:firstLine="480"/>
        <w:jc w:val="left"/>
        <w:rPr>
          <w:rStyle w:val="19"/>
          <w:rFonts w:ascii="宋体" w:hAnsi="宋体" w:eastAsia="宋体" w:cs="宋体"/>
          <w:sz w:val="24"/>
          <w:szCs w:val="24"/>
          <w:lang w:val="zh-TW" w:eastAsia="zh-TW"/>
        </w:rPr>
      </w:pPr>
      <w:r>
        <w:rPr>
          <w:rStyle w:val="19"/>
          <w:rFonts w:ascii="仿宋" w:hAnsi="仿宋" w:eastAsia="仿宋" w:cs="仿宋"/>
          <w:sz w:val="24"/>
          <w:szCs w:val="24"/>
          <w:lang w:val="zh-TW" w:eastAsia="zh-TW"/>
        </w:rPr>
        <w:t>本竞赛任务须以东澳岛新能源项目为原型，按照任务中工程步骤与任务要求的描述，模拟光伏电子工程项目从工程规划，供电系统设备安装，电力管控系统设备安装，电力系统布线连接，光伏电子系统运行调试，以及区域能源分析规划等。</w:t>
      </w:r>
    </w:p>
    <w:p>
      <w:pPr>
        <w:framePr w:w="0" w:wrap="auto" w:vAnchor="margin" w:hAnchor="text" w:yAlign="inline"/>
        <w:spacing w:line="360" w:lineRule="auto"/>
        <w:ind w:firstLine="482"/>
        <w:jc w:val="left"/>
        <w:rPr>
          <w:rStyle w:val="19"/>
          <w:rFonts w:ascii="宋体" w:hAnsi="宋体" w:eastAsia="宋体" w:cs="宋体"/>
          <w:b/>
          <w:bCs/>
          <w:sz w:val="24"/>
          <w:szCs w:val="24"/>
          <w:lang w:val="zh-TW" w:eastAsia="zh-TW"/>
        </w:rPr>
      </w:pPr>
      <w:r>
        <w:rPr>
          <w:rStyle w:val="19"/>
          <w:rFonts w:ascii="仿宋" w:hAnsi="仿宋" w:eastAsia="仿宋" w:cs="仿宋"/>
          <w:b/>
          <w:bCs/>
          <w:sz w:val="24"/>
          <w:szCs w:val="24"/>
          <w:lang w:val="zh-TW" w:eastAsia="zh-TW"/>
        </w:rPr>
        <w:t>二、工程步骤与任务要求</w:t>
      </w:r>
    </w:p>
    <w:p>
      <w:pPr>
        <w:framePr w:w="0" w:wrap="auto" w:vAnchor="margin" w:hAnchor="text" w:yAlign="inline"/>
        <w:spacing w:line="360" w:lineRule="auto"/>
        <w:ind w:firstLine="480"/>
        <w:jc w:val="left"/>
        <w:rPr>
          <w:rStyle w:val="19"/>
          <w:sz w:val="24"/>
          <w:szCs w:val="24"/>
        </w:rPr>
      </w:pPr>
      <w:r>
        <w:rPr>
          <w:rStyle w:val="19"/>
          <w:sz w:val="24"/>
          <w:szCs w:val="24"/>
          <w:lang w:val="en-US"/>
        </w:rPr>
        <w:t>1</w:t>
      </w:r>
      <w:r>
        <w:rPr>
          <w:rStyle w:val="19"/>
          <w:sz w:val="24"/>
          <w:szCs w:val="24"/>
          <w:lang w:val="zh-TW" w:eastAsia="zh-TW"/>
        </w:rPr>
        <w:t>、工程规划与工程部署</w:t>
      </w:r>
    </w:p>
    <w:p>
      <w:pPr>
        <w:framePr w:w="0" w:wrap="auto" w:vAnchor="margin" w:hAnchor="text" w:yAlign="inline"/>
        <w:spacing w:line="360" w:lineRule="auto"/>
        <w:ind w:firstLine="480"/>
        <w:jc w:val="left"/>
        <w:rPr>
          <w:rStyle w:val="19"/>
          <w:sz w:val="24"/>
          <w:szCs w:val="24"/>
        </w:rPr>
      </w:pPr>
      <w:r>
        <w:rPr>
          <w:rStyle w:val="19"/>
          <w:sz w:val="24"/>
          <w:szCs w:val="24"/>
          <w:lang w:val="en-US"/>
        </w:rPr>
        <w:t>1.1</w:t>
      </w:r>
      <w:r>
        <w:rPr>
          <w:rStyle w:val="19"/>
          <w:sz w:val="24"/>
          <w:szCs w:val="24"/>
          <w:lang w:val="zh-TW" w:eastAsia="zh-TW"/>
        </w:rPr>
        <w:t>工程规划图纸设计</w:t>
      </w:r>
      <w:r>
        <w:rPr>
          <w:rStyle w:val="19"/>
          <w:sz w:val="24"/>
          <w:szCs w:val="24"/>
          <w:lang w:val="en-US"/>
        </w:rPr>
        <w:t>:</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根据竞赛提供的设备，按照业务描述的要求，在管控平台的实训面板上实现光伏电子工程系统的设备区域规划。</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竞赛设备的所有器件要尽量全部利用起来；</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规划要求对各个功能区域（负载区域，风光控制区域，逆变与储能区域）合理划分；</w:t>
      </w:r>
    </w:p>
    <w:p>
      <w:pPr>
        <w:framePr w:w="0" w:wrap="auto" w:vAnchor="margin" w:hAnchor="text" w:yAlign="inline"/>
        <w:numPr>
          <w:ilvl w:val="0"/>
          <w:numId w:val="6"/>
        </w:numPr>
        <w:bidi w:val="0"/>
        <w:spacing w:line="360" w:lineRule="auto"/>
        <w:ind w:right="0"/>
        <w:jc w:val="left"/>
        <w:rPr>
          <w:rStyle w:val="19"/>
          <w:sz w:val="24"/>
          <w:szCs w:val="24"/>
          <w:lang w:val="zh-TW" w:eastAsia="zh-TW"/>
        </w:rPr>
      </w:pPr>
      <w:r>
        <w:rPr>
          <w:rStyle w:val="15"/>
          <w:sz w:val="24"/>
          <w:szCs w:val="24"/>
          <w:lang w:val="zh-TW" w:eastAsia="zh-TW"/>
        </w:rPr>
        <w:t>实训面板的强电电源及空气开关模块，</w:t>
      </w:r>
      <w:r>
        <w:rPr>
          <w:rStyle w:val="14"/>
          <w:sz w:val="24"/>
          <w:szCs w:val="24"/>
          <w:lang w:val="en-US"/>
        </w:rPr>
        <w:t>PLC</w:t>
      </w:r>
      <w:r>
        <w:rPr>
          <w:rStyle w:val="15"/>
          <w:sz w:val="24"/>
          <w:szCs w:val="24"/>
          <w:lang w:val="zh-TW" w:eastAsia="zh-TW"/>
        </w:rPr>
        <w:t>模块已经安装完成，无须考虑此部分位置规划；</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面板上的仪表区为固定区域，不用对该区域规划；</w:t>
      </w:r>
    </w:p>
    <w:p>
      <w:pPr>
        <w:framePr w:w="0" w:wrap="auto" w:vAnchor="margin" w:hAnchor="text" w:yAlign="inline"/>
        <w:numPr>
          <w:ilvl w:val="0"/>
          <w:numId w:val="6"/>
        </w:numPr>
        <w:bidi w:val="0"/>
        <w:spacing w:line="360" w:lineRule="auto"/>
        <w:ind w:right="0"/>
        <w:jc w:val="left"/>
        <w:rPr>
          <w:rStyle w:val="19"/>
          <w:sz w:val="24"/>
          <w:szCs w:val="24"/>
          <w:lang w:val="zh-TW" w:eastAsia="zh-TW"/>
        </w:rPr>
      </w:pPr>
      <w:r>
        <w:rPr>
          <w:rStyle w:val="15"/>
          <w:sz w:val="24"/>
          <w:szCs w:val="24"/>
          <w:lang w:val="zh-TW" w:eastAsia="zh-TW"/>
        </w:rPr>
        <w:t>在答题纸或通过计算机上安装的</w:t>
      </w:r>
      <w:r>
        <w:rPr>
          <w:rStyle w:val="14"/>
          <w:sz w:val="24"/>
          <w:szCs w:val="24"/>
          <w:lang w:val="en-US"/>
        </w:rPr>
        <w:t>viso</w:t>
      </w:r>
      <w:r>
        <w:rPr>
          <w:rStyle w:val="15"/>
          <w:sz w:val="24"/>
          <w:szCs w:val="24"/>
          <w:lang w:val="zh-TW" w:eastAsia="zh-TW"/>
        </w:rPr>
        <w:t>工具绘制设备规划图（计算机上做规划图设计须将文件保存至桌面）。</w:t>
      </w:r>
    </w:p>
    <w:p>
      <w:pPr>
        <w:framePr w:w="0" w:wrap="auto" w:vAnchor="margin" w:hAnchor="text" w:yAlign="inline"/>
        <w:spacing w:line="360" w:lineRule="auto"/>
        <w:ind w:firstLine="480"/>
        <w:jc w:val="left"/>
        <w:rPr>
          <w:rStyle w:val="19"/>
          <w:sz w:val="24"/>
          <w:szCs w:val="24"/>
        </w:rPr>
      </w:pPr>
      <w:r>
        <w:rPr>
          <w:rStyle w:val="19"/>
          <w:sz w:val="24"/>
          <w:szCs w:val="24"/>
          <w:lang w:val="en-US"/>
        </w:rPr>
        <w:t xml:space="preserve">1.2 </w:t>
      </w:r>
      <w:r>
        <w:rPr>
          <w:rStyle w:val="19"/>
          <w:sz w:val="24"/>
          <w:szCs w:val="24"/>
          <w:lang w:val="zh-TW" w:eastAsia="zh-TW"/>
        </w:rPr>
        <w:t>光伏电子设备安装</w:t>
      </w:r>
      <w:r>
        <w:rPr>
          <w:rStyle w:val="19"/>
          <w:sz w:val="24"/>
          <w:szCs w:val="24"/>
          <w:lang w:val="en-US"/>
        </w:rPr>
        <w:t>:</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在环境模拟平台上光伏电子供能设备进行安装。</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对垂直风力发电设备进行设备安装和固定，要求安装合理、牢固；</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对屋顶光伏设备、地面光伏设备进行安装固定，要求安装合理、牢固；</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根据业务描述的信息，调整面板角度模拟发电厂纬度（允许误差）；</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对地面光伏设备的倾角进行调整，以达到最高发电效率（允许误差）。</w:t>
      </w:r>
    </w:p>
    <w:p>
      <w:pPr>
        <w:framePr w:w="0" w:wrap="auto" w:vAnchor="margin" w:hAnchor="text" w:yAlign="inline"/>
        <w:spacing w:line="360" w:lineRule="auto"/>
        <w:ind w:firstLine="480"/>
        <w:jc w:val="left"/>
        <w:rPr>
          <w:rStyle w:val="19"/>
          <w:sz w:val="24"/>
          <w:szCs w:val="24"/>
        </w:rPr>
      </w:pPr>
      <w:r>
        <w:rPr>
          <w:rStyle w:val="19"/>
          <w:sz w:val="24"/>
          <w:szCs w:val="24"/>
          <w:lang w:val="en-US"/>
        </w:rPr>
        <w:t>1.3</w:t>
      </w:r>
      <w:r>
        <w:rPr>
          <w:rStyle w:val="19"/>
          <w:sz w:val="24"/>
          <w:szCs w:val="24"/>
          <w:lang w:val="zh-TW" w:eastAsia="zh-TW"/>
        </w:rPr>
        <w:t>各区域设备安装</w:t>
      </w:r>
      <w:r>
        <w:rPr>
          <w:rStyle w:val="19"/>
          <w:sz w:val="24"/>
          <w:szCs w:val="24"/>
          <w:lang w:val="en-US"/>
        </w:rPr>
        <w:t>:</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按照工程规划，对负载区域的设备在实训面板上进行安装固定。</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使用走线槽合理分隔各个区域；</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按照工程规划的布局，分别对负载功能区域、风光发电控制区域、电力逆变及储能功能区域的设备在实训面板上完成安装及固定；</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设备安装符合工程安装工艺标准，设备安装牢固、美观。</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注意事项：</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面板上方的强电区域已在竞赛前安装好，且有标注，选手注意不要接触和变更该区域的强电连接。</w:t>
      </w:r>
    </w:p>
    <w:p>
      <w:pPr>
        <w:framePr w:w="0" w:wrap="auto" w:vAnchor="margin" w:hAnchor="text" w:yAlign="inline"/>
        <w:spacing w:line="360" w:lineRule="auto"/>
        <w:ind w:firstLine="480"/>
        <w:jc w:val="left"/>
        <w:rPr>
          <w:rStyle w:val="19"/>
          <w:sz w:val="24"/>
          <w:szCs w:val="24"/>
        </w:rPr>
      </w:pPr>
      <w:r>
        <w:rPr>
          <w:rStyle w:val="19"/>
          <w:sz w:val="24"/>
          <w:szCs w:val="24"/>
          <w:lang w:val="en-US"/>
        </w:rPr>
        <w:t xml:space="preserve">1.4 </w:t>
      </w:r>
      <w:r>
        <w:rPr>
          <w:rStyle w:val="19"/>
          <w:sz w:val="24"/>
          <w:szCs w:val="24"/>
          <w:lang w:val="zh-TW" w:eastAsia="zh-TW"/>
        </w:rPr>
        <w:t>环境平台设备连接</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根据任务描述，将环境模拟平台中的垂直风力发电设备、屋顶光伏发电设备、地面光伏发电设备进行接线连接，并合理的布线至环境模拟平台下面配电箱的端子接线排上。</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根据设备上的标识，按照工程规范对设备进行连接；</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接线及布线尽量通过走线槽，布线合理有序；</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接线须上号码管标识，按合理顺序连接到端子接线排上；</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将环境模拟平台输电线通过航空线缆连接至电力管控平台上；</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使用数据航空线缆将环境模拟平台及电力管控平台进行数据通讯连接。</w:t>
      </w:r>
    </w:p>
    <w:p>
      <w:pPr>
        <w:framePr w:w="0" w:wrap="auto" w:vAnchor="margin" w:hAnchor="text" w:yAlign="inline"/>
        <w:spacing w:line="360" w:lineRule="auto"/>
        <w:ind w:firstLine="480"/>
        <w:jc w:val="left"/>
        <w:rPr>
          <w:rStyle w:val="19"/>
          <w:sz w:val="24"/>
          <w:szCs w:val="24"/>
        </w:rPr>
      </w:pPr>
      <w:r>
        <w:rPr>
          <w:rStyle w:val="19"/>
          <w:sz w:val="24"/>
          <w:szCs w:val="24"/>
          <w:lang w:val="en-US"/>
        </w:rPr>
        <w:t xml:space="preserve">1.5 </w:t>
      </w:r>
      <w:r>
        <w:rPr>
          <w:rStyle w:val="19"/>
          <w:sz w:val="24"/>
          <w:szCs w:val="24"/>
          <w:lang w:val="zh-TW" w:eastAsia="zh-TW"/>
        </w:rPr>
        <w:t>管控平台工程布线</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按照任务描述要求，合理规划电力管控平台上的设备连接，完成对管控平台上所有设备的连接和布线。</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设备接线须按照设备上的接口标识进行正确的连接；</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接线须上号码管标识，按合理顺序连接到端子接线排上；</w:t>
      </w:r>
    </w:p>
    <w:p>
      <w:pPr>
        <w:framePr w:w="0" w:wrap="auto" w:vAnchor="margin" w:hAnchor="text" w:yAlign="inline"/>
        <w:numPr>
          <w:ilvl w:val="0"/>
          <w:numId w:val="6"/>
        </w:numPr>
        <w:bidi w:val="0"/>
        <w:spacing w:line="360" w:lineRule="auto"/>
        <w:ind w:right="0"/>
        <w:jc w:val="left"/>
        <w:rPr>
          <w:rStyle w:val="15"/>
          <w:sz w:val="24"/>
          <w:szCs w:val="24"/>
          <w:lang w:val="zh-TW" w:eastAsia="zh-TW"/>
        </w:rPr>
      </w:pPr>
      <w:r>
        <w:rPr>
          <w:rStyle w:val="15"/>
          <w:sz w:val="24"/>
          <w:szCs w:val="24"/>
          <w:lang w:val="zh-TW" w:eastAsia="zh-TW"/>
        </w:rPr>
        <w:t>布线尽量通过走线槽中，布线符合工程规范工艺，合理、牢固、简洁、有序；</w:t>
      </w:r>
    </w:p>
    <w:p>
      <w:pPr>
        <w:framePr w:w="0" w:wrap="auto" w:vAnchor="margin" w:hAnchor="text" w:yAlign="inline"/>
        <w:spacing w:line="360" w:lineRule="auto"/>
        <w:ind w:firstLine="480"/>
        <w:jc w:val="left"/>
        <w:rPr>
          <w:rStyle w:val="19"/>
          <w:sz w:val="24"/>
          <w:szCs w:val="24"/>
        </w:rPr>
      </w:pPr>
      <w:r>
        <w:rPr>
          <w:rStyle w:val="19"/>
          <w:sz w:val="24"/>
          <w:szCs w:val="24"/>
          <w:lang w:val="en-US"/>
        </w:rPr>
        <w:t>1.6 PLC</w:t>
      </w:r>
      <w:r>
        <w:rPr>
          <w:rStyle w:val="19"/>
          <w:sz w:val="24"/>
          <w:szCs w:val="24"/>
          <w:lang w:val="zh-TW" w:eastAsia="zh-TW"/>
        </w:rPr>
        <w:t>设备连接调试</w:t>
      </w:r>
    </w:p>
    <w:p>
      <w:pPr>
        <w:framePr w:w="0" w:wrap="auto" w:vAnchor="margin" w:hAnchor="text" w:yAlign="inline"/>
        <w:spacing w:line="360" w:lineRule="auto"/>
        <w:ind w:firstLine="480"/>
        <w:jc w:val="left"/>
        <w:rPr>
          <w:rStyle w:val="19"/>
          <w:sz w:val="24"/>
          <w:szCs w:val="24"/>
        </w:rPr>
      </w:pPr>
      <w:r>
        <w:rPr>
          <w:rStyle w:val="19"/>
          <w:sz w:val="24"/>
          <w:szCs w:val="24"/>
          <w:lang w:val="zh-TW" w:eastAsia="zh-TW"/>
        </w:rPr>
        <w:t>对</w:t>
      </w:r>
      <w:r>
        <w:rPr>
          <w:rStyle w:val="19"/>
          <w:sz w:val="24"/>
          <w:szCs w:val="24"/>
          <w:lang w:val="en-US"/>
        </w:rPr>
        <w:t>PLC</w:t>
      </w:r>
      <w:r>
        <w:rPr>
          <w:rStyle w:val="19"/>
          <w:sz w:val="24"/>
          <w:szCs w:val="24"/>
          <w:lang w:val="zh-TW" w:eastAsia="zh-TW"/>
        </w:rPr>
        <w:t>设备的进行正确的连接，并完成对</w:t>
      </w:r>
      <w:r>
        <w:rPr>
          <w:rStyle w:val="19"/>
          <w:sz w:val="24"/>
          <w:szCs w:val="24"/>
          <w:lang w:val="en-US"/>
        </w:rPr>
        <w:t>PLC</w:t>
      </w:r>
      <w:r>
        <w:rPr>
          <w:rStyle w:val="19"/>
          <w:sz w:val="24"/>
          <w:szCs w:val="24"/>
          <w:lang w:val="zh-TW" w:eastAsia="zh-TW"/>
        </w:rPr>
        <w:t>的采集控制调试。</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numPr>
          <w:ilvl w:val="0"/>
          <w:numId w:val="6"/>
        </w:numPr>
        <w:bidi w:val="0"/>
        <w:spacing w:line="360" w:lineRule="auto"/>
        <w:ind w:right="0"/>
        <w:jc w:val="left"/>
        <w:rPr>
          <w:rStyle w:val="19"/>
          <w:sz w:val="24"/>
          <w:szCs w:val="24"/>
          <w:lang w:val="en-US"/>
        </w:rPr>
      </w:pPr>
      <w:r>
        <w:rPr>
          <w:rStyle w:val="14"/>
          <w:sz w:val="24"/>
          <w:szCs w:val="24"/>
          <w:lang w:val="en-US"/>
        </w:rPr>
        <w:t>PLC</w:t>
      </w:r>
      <w:r>
        <w:rPr>
          <w:rStyle w:val="15"/>
          <w:sz w:val="24"/>
          <w:szCs w:val="24"/>
          <w:lang w:val="zh-TW" w:eastAsia="zh-TW"/>
        </w:rPr>
        <w:t>的模拟采集端，须对</w:t>
      </w:r>
      <w:r>
        <w:rPr>
          <w:rStyle w:val="14"/>
          <w:sz w:val="24"/>
          <w:szCs w:val="24"/>
          <w:lang w:val="en-US"/>
        </w:rPr>
        <w:t>6</w:t>
      </w:r>
      <w:r>
        <w:rPr>
          <w:rStyle w:val="15"/>
          <w:sz w:val="24"/>
          <w:szCs w:val="24"/>
          <w:lang w:val="zh-TW" w:eastAsia="zh-TW"/>
        </w:rPr>
        <w:t>个模拟量数据进行采集，</w:t>
      </w:r>
      <w:r>
        <w:rPr>
          <w:rStyle w:val="14"/>
          <w:sz w:val="24"/>
          <w:szCs w:val="24"/>
          <w:lang w:val="en-US"/>
        </w:rPr>
        <w:t>1</w:t>
      </w:r>
      <w:r>
        <w:rPr>
          <w:rStyle w:val="15"/>
          <w:sz w:val="24"/>
          <w:szCs w:val="24"/>
          <w:lang w:val="zh-TW" w:eastAsia="zh-TW"/>
        </w:rPr>
        <w:t>路为直流负载电压，</w:t>
      </w:r>
      <w:r>
        <w:rPr>
          <w:rStyle w:val="14"/>
          <w:sz w:val="24"/>
          <w:szCs w:val="24"/>
          <w:lang w:val="en-US"/>
        </w:rPr>
        <w:t>2</w:t>
      </w:r>
      <w:r>
        <w:rPr>
          <w:rStyle w:val="15"/>
          <w:sz w:val="24"/>
          <w:szCs w:val="24"/>
          <w:lang w:val="zh-TW" w:eastAsia="zh-TW"/>
        </w:rPr>
        <w:t>路为直流负载电流，</w:t>
      </w:r>
      <w:r>
        <w:rPr>
          <w:rStyle w:val="14"/>
          <w:sz w:val="24"/>
          <w:szCs w:val="24"/>
          <w:lang w:val="en-US"/>
        </w:rPr>
        <w:t>3</w:t>
      </w:r>
      <w:r>
        <w:rPr>
          <w:rStyle w:val="15"/>
          <w:sz w:val="24"/>
          <w:szCs w:val="24"/>
          <w:lang w:val="zh-TW" w:eastAsia="zh-TW"/>
        </w:rPr>
        <w:t>路为交流负载电压，</w:t>
      </w:r>
      <w:r>
        <w:rPr>
          <w:rStyle w:val="14"/>
          <w:sz w:val="24"/>
          <w:szCs w:val="24"/>
          <w:lang w:val="en-US"/>
        </w:rPr>
        <w:t>4</w:t>
      </w:r>
      <w:r>
        <w:rPr>
          <w:rStyle w:val="15"/>
          <w:sz w:val="24"/>
          <w:szCs w:val="24"/>
          <w:lang w:val="zh-TW" w:eastAsia="zh-TW"/>
        </w:rPr>
        <w:t>路为交流负载电流，</w:t>
      </w:r>
      <w:r>
        <w:rPr>
          <w:rStyle w:val="14"/>
          <w:sz w:val="24"/>
          <w:szCs w:val="24"/>
          <w:lang w:val="en-US"/>
        </w:rPr>
        <w:t>5</w:t>
      </w:r>
      <w:r>
        <w:rPr>
          <w:rStyle w:val="15"/>
          <w:sz w:val="24"/>
          <w:szCs w:val="24"/>
          <w:lang w:val="zh-TW" w:eastAsia="zh-TW"/>
        </w:rPr>
        <w:t>路为蓄电电压，</w:t>
      </w:r>
      <w:r>
        <w:rPr>
          <w:rStyle w:val="14"/>
          <w:sz w:val="24"/>
          <w:szCs w:val="24"/>
          <w:lang w:val="en-US"/>
        </w:rPr>
        <w:t>6</w:t>
      </w:r>
      <w:r>
        <w:rPr>
          <w:rStyle w:val="15"/>
          <w:sz w:val="24"/>
          <w:szCs w:val="24"/>
          <w:lang w:val="zh-TW" w:eastAsia="zh-TW"/>
        </w:rPr>
        <w:t>路为蓄电电流；</w:t>
      </w:r>
    </w:p>
    <w:p>
      <w:pPr>
        <w:framePr w:w="0" w:wrap="auto" w:vAnchor="margin" w:hAnchor="text" w:yAlign="inline"/>
        <w:numPr>
          <w:ilvl w:val="0"/>
          <w:numId w:val="6"/>
        </w:numPr>
        <w:bidi w:val="0"/>
        <w:spacing w:line="360" w:lineRule="auto"/>
        <w:ind w:right="0"/>
        <w:jc w:val="left"/>
        <w:rPr>
          <w:rStyle w:val="19"/>
          <w:sz w:val="24"/>
          <w:szCs w:val="24"/>
          <w:lang w:val="en-US"/>
        </w:rPr>
      </w:pPr>
      <w:r>
        <w:rPr>
          <w:rStyle w:val="14"/>
          <w:sz w:val="24"/>
          <w:szCs w:val="24"/>
          <w:lang w:val="en-US"/>
        </w:rPr>
        <w:t>PLC</w:t>
      </w:r>
      <w:r>
        <w:rPr>
          <w:rStyle w:val="15"/>
          <w:sz w:val="24"/>
          <w:szCs w:val="24"/>
          <w:lang w:val="zh-TW" w:eastAsia="zh-TW"/>
        </w:rPr>
        <w:t>的开关控制端，须对</w:t>
      </w:r>
      <w:r>
        <w:rPr>
          <w:rStyle w:val="14"/>
          <w:sz w:val="24"/>
          <w:szCs w:val="24"/>
          <w:lang w:val="en-US"/>
        </w:rPr>
        <w:t>10</w:t>
      </w:r>
      <w:r>
        <w:rPr>
          <w:rStyle w:val="15"/>
          <w:sz w:val="24"/>
          <w:szCs w:val="24"/>
          <w:lang w:val="zh-TW" w:eastAsia="zh-TW"/>
        </w:rPr>
        <w:t>路继电器进行控制，</w:t>
      </w:r>
      <w:r>
        <w:rPr>
          <w:rStyle w:val="14"/>
          <w:sz w:val="24"/>
          <w:szCs w:val="24"/>
          <w:lang w:val="en-US"/>
        </w:rPr>
        <w:t>1</w:t>
      </w:r>
      <w:r>
        <w:rPr>
          <w:rStyle w:val="15"/>
          <w:sz w:val="24"/>
          <w:szCs w:val="24"/>
          <w:lang w:val="zh-TW" w:eastAsia="zh-TW"/>
        </w:rPr>
        <w:t>到</w:t>
      </w:r>
      <w:r>
        <w:rPr>
          <w:rStyle w:val="14"/>
          <w:sz w:val="24"/>
          <w:szCs w:val="24"/>
          <w:lang w:val="en-US"/>
        </w:rPr>
        <w:t>10</w:t>
      </w:r>
      <w:r>
        <w:rPr>
          <w:rStyle w:val="15"/>
          <w:sz w:val="24"/>
          <w:szCs w:val="24"/>
          <w:lang w:val="zh-TW" w:eastAsia="zh-TW"/>
        </w:rPr>
        <w:t>路分别对应交流负载</w:t>
      </w:r>
      <w:r>
        <w:rPr>
          <w:rStyle w:val="14"/>
          <w:sz w:val="24"/>
          <w:szCs w:val="24"/>
          <w:lang w:val="en-US"/>
        </w:rPr>
        <w:t>1</w:t>
      </w:r>
      <w:r>
        <w:rPr>
          <w:rStyle w:val="15"/>
          <w:sz w:val="24"/>
          <w:szCs w:val="24"/>
          <w:lang w:val="zh-TW" w:eastAsia="zh-TW"/>
        </w:rPr>
        <w:t>，交流负载</w:t>
      </w:r>
      <w:r>
        <w:rPr>
          <w:rStyle w:val="14"/>
          <w:sz w:val="24"/>
          <w:szCs w:val="24"/>
          <w:lang w:val="en-US"/>
        </w:rPr>
        <w:t>2</w:t>
      </w:r>
      <w:r>
        <w:rPr>
          <w:rStyle w:val="15"/>
          <w:sz w:val="24"/>
          <w:szCs w:val="24"/>
          <w:lang w:val="zh-TW" w:eastAsia="zh-TW"/>
        </w:rPr>
        <w:t>，直流负载</w:t>
      </w:r>
      <w:r>
        <w:rPr>
          <w:rStyle w:val="14"/>
          <w:sz w:val="24"/>
          <w:szCs w:val="24"/>
          <w:lang w:val="en-US"/>
        </w:rPr>
        <w:t>1</w:t>
      </w:r>
      <w:r>
        <w:rPr>
          <w:rStyle w:val="15"/>
          <w:sz w:val="24"/>
          <w:szCs w:val="24"/>
          <w:lang w:val="zh-TW" w:eastAsia="zh-TW"/>
        </w:rPr>
        <w:t>，直流负载</w:t>
      </w:r>
      <w:r>
        <w:rPr>
          <w:rStyle w:val="14"/>
          <w:sz w:val="24"/>
          <w:szCs w:val="24"/>
          <w:lang w:val="en-US"/>
        </w:rPr>
        <w:t>2</w:t>
      </w:r>
      <w:r>
        <w:rPr>
          <w:rStyle w:val="15"/>
          <w:sz w:val="24"/>
          <w:szCs w:val="24"/>
          <w:lang w:val="zh-TW" w:eastAsia="zh-TW"/>
        </w:rPr>
        <w:t>，屋顶光伏，地面光伏，风力发电</w:t>
      </w:r>
      <w:r>
        <w:rPr>
          <w:rStyle w:val="14"/>
          <w:sz w:val="24"/>
          <w:szCs w:val="24"/>
          <w:lang w:val="en-US"/>
        </w:rPr>
        <w:t>1</w:t>
      </w:r>
      <w:r>
        <w:rPr>
          <w:rStyle w:val="15"/>
          <w:sz w:val="24"/>
          <w:szCs w:val="24"/>
          <w:lang w:val="zh-TW" w:eastAsia="zh-TW"/>
        </w:rPr>
        <w:t>，风力发电</w:t>
      </w:r>
      <w:r>
        <w:rPr>
          <w:rStyle w:val="14"/>
          <w:sz w:val="24"/>
          <w:szCs w:val="24"/>
          <w:lang w:val="en-US"/>
        </w:rPr>
        <w:t>2</w:t>
      </w:r>
      <w:r>
        <w:rPr>
          <w:rStyle w:val="15"/>
          <w:sz w:val="24"/>
          <w:szCs w:val="24"/>
          <w:lang w:val="zh-TW" w:eastAsia="zh-TW"/>
        </w:rPr>
        <w:t>，储能开关，逆变开关；</w:t>
      </w:r>
    </w:p>
    <w:p>
      <w:pPr>
        <w:framePr w:w="0" w:wrap="auto" w:vAnchor="margin" w:hAnchor="text" w:yAlign="inline"/>
        <w:numPr>
          <w:ilvl w:val="0"/>
          <w:numId w:val="6"/>
        </w:numPr>
        <w:bidi w:val="0"/>
        <w:spacing w:line="360" w:lineRule="auto"/>
        <w:ind w:right="0"/>
        <w:jc w:val="left"/>
        <w:rPr>
          <w:rStyle w:val="19"/>
          <w:sz w:val="24"/>
          <w:szCs w:val="24"/>
          <w:lang w:val="en-US"/>
        </w:rPr>
      </w:pPr>
      <w:r>
        <w:rPr>
          <w:rStyle w:val="14"/>
          <w:sz w:val="24"/>
          <w:szCs w:val="24"/>
          <w:lang w:val="en-US"/>
        </w:rPr>
        <w:t>PLC</w:t>
      </w:r>
      <w:r>
        <w:rPr>
          <w:rStyle w:val="15"/>
          <w:sz w:val="24"/>
          <w:szCs w:val="24"/>
          <w:lang w:val="zh-TW" w:eastAsia="zh-TW"/>
        </w:rPr>
        <w:t>的</w:t>
      </w:r>
      <w:r>
        <w:rPr>
          <w:rStyle w:val="14"/>
          <w:sz w:val="24"/>
          <w:szCs w:val="24"/>
          <w:lang w:val="en-US"/>
        </w:rPr>
        <w:t>485</w:t>
      </w:r>
      <w:r>
        <w:rPr>
          <w:rStyle w:val="15"/>
          <w:sz w:val="24"/>
          <w:szCs w:val="24"/>
          <w:lang w:val="zh-TW" w:eastAsia="zh-TW"/>
        </w:rPr>
        <w:t>数据接口，</w:t>
      </w:r>
      <w:r>
        <w:rPr>
          <w:rStyle w:val="14"/>
          <w:sz w:val="24"/>
          <w:szCs w:val="24"/>
          <w:lang w:val="en-US"/>
        </w:rPr>
        <w:t>1</w:t>
      </w:r>
      <w:r>
        <w:rPr>
          <w:rStyle w:val="15"/>
          <w:sz w:val="24"/>
          <w:szCs w:val="24"/>
          <w:lang w:val="zh-TW" w:eastAsia="zh-TW"/>
        </w:rPr>
        <w:t>路连接至</w:t>
      </w:r>
      <w:r>
        <w:rPr>
          <w:rStyle w:val="14"/>
          <w:sz w:val="24"/>
          <w:szCs w:val="24"/>
          <w:lang w:val="en-US"/>
        </w:rPr>
        <w:t>PC</w:t>
      </w:r>
      <w:r>
        <w:rPr>
          <w:rStyle w:val="15"/>
          <w:sz w:val="24"/>
          <w:szCs w:val="24"/>
          <w:lang w:val="zh-TW" w:eastAsia="zh-TW"/>
        </w:rPr>
        <w:t>机，</w:t>
      </w:r>
      <w:r>
        <w:rPr>
          <w:rStyle w:val="14"/>
          <w:sz w:val="24"/>
          <w:szCs w:val="24"/>
          <w:lang w:val="en-US"/>
        </w:rPr>
        <w:t>2</w:t>
      </w:r>
      <w:r>
        <w:rPr>
          <w:rStyle w:val="15"/>
          <w:sz w:val="24"/>
          <w:szCs w:val="24"/>
          <w:lang w:val="zh-TW" w:eastAsia="zh-TW"/>
        </w:rPr>
        <w:t>路、</w:t>
      </w:r>
      <w:r>
        <w:rPr>
          <w:rStyle w:val="14"/>
          <w:sz w:val="24"/>
          <w:szCs w:val="24"/>
          <w:lang w:val="en-US"/>
        </w:rPr>
        <w:t>3</w:t>
      </w:r>
      <w:r>
        <w:rPr>
          <w:rStyle w:val="15"/>
          <w:sz w:val="24"/>
          <w:szCs w:val="24"/>
          <w:lang w:val="zh-TW" w:eastAsia="zh-TW"/>
        </w:rPr>
        <w:t>路分别与接入电力管控平台的控制板和触控终端的接线；</w:t>
      </w:r>
    </w:p>
    <w:p>
      <w:pPr>
        <w:framePr w:w="0" w:wrap="auto" w:vAnchor="margin" w:hAnchor="text" w:yAlign="inline"/>
        <w:numPr>
          <w:ilvl w:val="0"/>
          <w:numId w:val="6"/>
        </w:numPr>
        <w:bidi w:val="0"/>
        <w:spacing w:line="360" w:lineRule="auto"/>
        <w:ind w:right="0"/>
        <w:jc w:val="left"/>
        <w:rPr>
          <w:rStyle w:val="19"/>
          <w:sz w:val="24"/>
          <w:szCs w:val="24"/>
          <w:lang w:val="zh-TW" w:eastAsia="zh-TW"/>
        </w:rPr>
      </w:pPr>
      <w:r>
        <w:rPr>
          <w:rStyle w:val="15"/>
          <w:sz w:val="24"/>
          <w:szCs w:val="24"/>
          <w:lang w:val="zh-TW" w:eastAsia="zh-TW"/>
        </w:rPr>
        <w:t>使用计算机上安装的组态系统对</w:t>
      </w:r>
      <w:r>
        <w:rPr>
          <w:rStyle w:val="14"/>
          <w:sz w:val="24"/>
          <w:szCs w:val="24"/>
          <w:lang w:val="en-US"/>
        </w:rPr>
        <w:t>PLC</w:t>
      </w:r>
      <w:r>
        <w:rPr>
          <w:rStyle w:val="15"/>
          <w:sz w:val="24"/>
          <w:szCs w:val="24"/>
          <w:lang w:val="zh-TW" w:eastAsia="zh-TW"/>
        </w:rPr>
        <w:t>的数据采集和开关控制进行调试。</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注意事项：</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接线须确认标识的输入、输出，正负极，零火等标识，正确连接，以免损害设备，切勿带电接线操作。</w:t>
      </w:r>
    </w:p>
    <w:p>
      <w:pPr>
        <w:framePr w:w="0" w:wrap="auto" w:vAnchor="margin" w:hAnchor="text" w:yAlign="inline"/>
        <w:spacing w:line="360" w:lineRule="auto"/>
        <w:ind w:firstLine="480"/>
        <w:jc w:val="left"/>
        <w:rPr>
          <w:rStyle w:val="19"/>
          <w:color w:val="000000"/>
          <w:sz w:val="24"/>
          <w:szCs w:val="24"/>
          <w:u w:color="000000"/>
        </w:rPr>
      </w:pPr>
      <w:r>
        <w:rPr>
          <w:rStyle w:val="19"/>
          <w:color w:val="000000"/>
          <w:sz w:val="24"/>
          <w:szCs w:val="24"/>
          <w:u w:color="000000"/>
          <w:lang w:val="en-US"/>
        </w:rPr>
        <w:t>2</w:t>
      </w:r>
      <w:r>
        <w:rPr>
          <w:rStyle w:val="19"/>
          <w:color w:val="000000"/>
          <w:sz w:val="24"/>
          <w:szCs w:val="24"/>
          <w:u w:color="000000"/>
          <w:lang w:val="zh-TW" w:eastAsia="zh-TW"/>
        </w:rPr>
        <w:t>、系统开发与系统调试</w:t>
      </w:r>
    </w:p>
    <w:p>
      <w:pPr>
        <w:framePr w:w="0" w:wrap="auto" w:vAnchor="margin" w:hAnchor="text" w:yAlign="inline"/>
        <w:spacing w:line="360" w:lineRule="auto"/>
        <w:ind w:firstLine="480"/>
        <w:jc w:val="left"/>
        <w:rPr>
          <w:rStyle w:val="19"/>
          <w:color w:val="000000"/>
          <w:sz w:val="24"/>
          <w:szCs w:val="24"/>
          <w:u w:color="000000"/>
        </w:rPr>
      </w:pPr>
      <w:r>
        <w:rPr>
          <w:rStyle w:val="19"/>
          <w:color w:val="000000"/>
          <w:sz w:val="24"/>
          <w:szCs w:val="24"/>
          <w:u w:color="000000"/>
          <w:lang w:val="en-US"/>
        </w:rPr>
        <w:t xml:space="preserve">2.1  </w:t>
      </w:r>
      <w:r>
        <w:rPr>
          <w:rStyle w:val="19"/>
          <w:color w:val="000000"/>
          <w:sz w:val="24"/>
          <w:szCs w:val="24"/>
          <w:u w:color="000000"/>
          <w:lang w:val="zh-TW" w:eastAsia="zh-TW"/>
        </w:rPr>
        <w:t>光伏控制模块开发调试</w:t>
      </w:r>
    </w:p>
    <w:p>
      <w:pPr>
        <w:framePr w:w="0" w:wrap="auto" w:vAnchor="margin" w:hAnchor="text" w:yAlign="inline"/>
        <w:spacing w:line="360" w:lineRule="auto"/>
        <w:ind w:firstLine="480"/>
        <w:jc w:val="left"/>
        <w:rPr>
          <w:rStyle w:val="19"/>
          <w:color w:val="000000"/>
          <w:sz w:val="24"/>
          <w:szCs w:val="24"/>
          <w:u w:color="000000"/>
        </w:rPr>
      </w:pPr>
      <w:r>
        <w:rPr>
          <w:rStyle w:val="19"/>
          <w:color w:val="000000"/>
          <w:sz w:val="24"/>
          <w:szCs w:val="24"/>
          <w:u w:color="000000"/>
          <w:lang w:val="zh-TW" w:eastAsia="zh-TW"/>
        </w:rPr>
        <w:t>使用竞赛设备中提供的</w:t>
      </w:r>
      <w:r>
        <w:rPr>
          <w:rStyle w:val="19"/>
          <w:color w:val="000000"/>
          <w:sz w:val="24"/>
          <w:szCs w:val="24"/>
          <w:u w:color="000000"/>
          <w:lang w:val="en-US"/>
        </w:rPr>
        <w:t>PCB</w:t>
      </w:r>
      <w:r>
        <w:rPr>
          <w:rStyle w:val="19"/>
          <w:color w:val="000000"/>
          <w:sz w:val="24"/>
          <w:szCs w:val="24"/>
          <w:u w:color="000000"/>
          <w:lang w:val="zh-TW" w:eastAsia="zh-TW"/>
        </w:rPr>
        <w:t>板，器件清单，器件包，导线，工具包等，开发一组光伏控制模块。</w:t>
      </w:r>
    </w:p>
    <w:p>
      <w:pPr>
        <w:framePr w:w="0" w:wrap="auto" w:vAnchor="margin" w:hAnchor="text" w:yAlign="inline"/>
        <w:spacing w:line="360" w:lineRule="auto"/>
        <w:ind w:firstLine="480"/>
        <w:jc w:val="left"/>
        <w:rPr>
          <w:rStyle w:val="19"/>
          <w:color w:val="000000"/>
          <w:sz w:val="24"/>
          <w:szCs w:val="24"/>
          <w:u w:color="000000"/>
          <w:lang w:val="zh-TW" w:eastAsia="zh-TW"/>
        </w:rPr>
      </w:pPr>
      <w:r>
        <w:rPr>
          <w:rStyle w:val="19"/>
          <w:color w:val="000000"/>
          <w:sz w:val="24"/>
          <w:szCs w:val="24"/>
          <w:u w:color="000000"/>
          <w:lang w:val="zh-TW" w:eastAsia="zh-TW"/>
        </w:rPr>
        <w:t>要求：</w:t>
      </w:r>
    </w:p>
    <w:p>
      <w:pPr>
        <w:pStyle w:val="26"/>
        <w:framePr w:w="0" w:wrap="auto" w:vAnchor="margin" w:hAnchor="text" w:yAlign="inline"/>
        <w:numPr>
          <w:ilvl w:val="0"/>
          <w:numId w:val="7"/>
        </w:numPr>
        <w:bidi w:val="0"/>
        <w:spacing w:line="360" w:lineRule="auto"/>
        <w:ind w:right="0"/>
        <w:jc w:val="left"/>
        <w:rPr>
          <w:rStyle w:val="19"/>
          <w:color w:val="000000"/>
          <w:sz w:val="24"/>
          <w:szCs w:val="24"/>
          <w:u w:color="000000"/>
          <w:lang w:val="zh-TW" w:eastAsia="zh-TW"/>
        </w:rPr>
      </w:pPr>
      <w:r>
        <w:rPr>
          <w:rStyle w:val="19"/>
          <w:color w:val="000000"/>
          <w:sz w:val="24"/>
          <w:szCs w:val="24"/>
          <w:u w:color="000000"/>
          <w:lang w:val="zh-TW" w:eastAsia="zh-TW"/>
        </w:rPr>
        <w:t>当负载端没有功耗，地面光伏输入、屋顶光伏输入不接入负载供电；</w:t>
      </w:r>
    </w:p>
    <w:p>
      <w:pPr>
        <w:pStyle w:val="26"/>
        <w:framePr w:w="0" w:wrap="auto" w:vAnchor="margin" w:hAnchor="text" w:yAlign="inline"/>
        <w:numPr>
          <w:ilvl w:val="0"/>
          <w:numId w:val="7"/>
        </w:numPr>
        <w:bidi w:val="0"/>
        <w:spacing w:line="360" w:lineRule="auto"/>
        <w:ind w:right="0"/>
        <w:jc w:val="left"/>
        <w:rPr>
          <w:rStyle w:val="19"/>
          <w:color w:val="000000"/>
          <w:sz w:val="24"/>
          <w:szCs w:val="24"/>
          <w:u w:color="000000"/>
          <w:lang w:val="zh-TW" w:eastAsia="zh-TW"/>
        </w:rPr>
      </w:pPr>
      <w:r>
        <w:rPr>
          <w:rStyle w:val="19"/>
          <w:color w:val="000000"/>
          <w:sz w:val="24"/>
          <w:szCs w:val="24"/>
          <w:u w:color="000000"/>
          <w:lang w:val="zh-TW" w:eastAsia="zh-TW"/>
        </w:rPr>
        <w:t>当负载端开启一组负载，电路自动完成屋顶光伏供电接入；</w:t>
      </w:r>
    </w:p>
    <w:p>
      <w:pPr>
        <w:pStyle w:val="26"/>
        <w:framePr w:w="0" w:wrap="auto" w:vAnchor="margin" w:hAnchor="text" w:yAlign="inline"/>
        <w:numPr>
          <w:ilvl w:val="0"/>
          <w:numId w:val="7"/>
        </w:numPr>
        <w:bidi w:val="0"/>
        <w:spacing w:line="360" w:lineRule="auto"/>
        <w:ind w:right="0"/>
        <w:jc w:val="left"/>
        <w:rPr>
          <w:rStyle w:val="19"/>
          <w:color w:val="000000"/>
          <w:sz w:val="24"/>
          <w:szCs w:val="24"/>
          <w:u w:color="000000"/>
          <w:lang w:val="zh-TW" w:eastAsia="zh-TW"/>
        </w:rPr>
      </w:pPr>
      <w:r>
        <w:rPr>
          <w:rStyle w:val="19"/>
          <w:color w:val="000000"/>
          <w:sz w:val="24"/>
          <w:szCs w:val="24"/>
          <w:u w:color="000000"/>
          <w:lang w:val="zh-TW" w:eastAsia="zh-TW"/>
        </w:rPr>
        <w:t>当负载端开启两组负载，电路自动完成屋顶光伏供电，地面光伏供电接入；</w:t>
      </w:r>
    </w:p>
    <w:p>
      <w:pPr>
        <w:pStyle w:val="26"/>
        <w:framePr w:w="0" w:wrap="auto" w:vAnchor="margin" w:hAnchor="text" w:yAlign="inline"/>
        <w:numPr>
          <w:ilvl w:val="0"/>
          <w:numId w:val="7"/>
        </w:numPr>
        <w:bidi w:val="0"/>
        <w:spacing w:line="360" w:lineRule="auto"/>
        <w:ind w:right="0"/>
        <w:jc w:val="left"/>
        <w:rPr>
          <w:rStyle w:val="19"/>
          <w:color w:val="000000"/>
          <w:sz w:val="24"/>
          <w:szCs w:val="24"/>
          <w:u w:color="000000"/>
          <w:lang w:val="zh-TW" w:eastAsia="zh-TW"/>
        </w:rPr>
      </w:pPr>
      <w:r>
        <w:rPr>
          <w:rStyle w:val="19"/>
          <w:color w:val="000000"/>
          <w:sz w:val="24"/>
          <w:szCs w:val="24"/>
          <w:u w:color="000000"/>
          <w:lang w:val="zh-TW" w:eastAsia="zh-TW"/>
        </w:rPr>
        <w:t>根据提供的</w:t>
      </w:r>
      <w:r>
        <w:rPr>
          <w:rStyle w:val="19"/>
          <w:color w:val="000000"/>
          <w:sz w:val="24"/>
          <w:szCs w:val="24"/>
          <w:u w:color="000000"/>
          <w:lang w:val="en-US"/>
        </w:rPr>
        <w:t>PCB</w:t>
      </w:r>
      <w:r>
        <w:rPr>
          <w:rStyle w:val="19"/>
          <w:color w:val="000000"/>
          <w:sz w:val="24"/>
          <w:szCs w:val="24"/>
          <w:u w:color="000000"/>
          <w:lang w:val="zh-TW" w:eastAsia="zh-TW"/>
        </w:rPr>
        <w:t>板，器件包等进行器件选型，在答题卡上完成电路的设计；</w:t>
      </w:r>
    </w:p>
    <w:p>
      <w:pPr>
        <w:pStyle w:val="26"/>
        <w:framePr w:w="0" w:wrap="auto" w:vAnchor="margin" w:hAnchor="text" w:yAlign="inline"/>
        <w:numPr>
          <w:ilvl w:val="0"/>
          <w:numId w:val="7"/>
        </w:numPr>
        <w:bidi w:val="0"/>
        <w:spacing w:line="360" w:lineRule="auto"/>
        <w:ind w:right="0"/>
        <w:jc w:val="left"/>
        <w:rPr>
          <w:rStyle w:val="19"/>
          <w:color w:val="000000"/>
          <w:sz w:val="24"/>
          <w:szCs w:val="24"/>
          <w:u w:color="000000"/>
          <w:lang w:val="zh-TW" w:eastAsia="zh-TW"/>
        </w:rPr>
      </w:pPr>
      <w:r>
        <w:rPr>
          <w:rStyle w:val="19"/>
          <w:color w:val="000000"/>
          <w:sz w:val="24"/>
          <w:szCs w:val="24"/>
          <w:u w:color="000000"/>
          <w:lang w:val="zh-TW" w:eastAsia="zh-TW"/>
        </w:rPr>
        <w:t>使用提供的器材工具完成模块的制作调试；</w:t>
      </w:r>
    </w:p>
    <w:p>
      <w:pPr>
        <w:framePr w:w="0" w:wrap="auto" w:vAnchor="margin" w:hAnchor="text" w:yAlign="inline"/>
        <w:spacing w:line="360" w:lineRule="auto"/>
        <w:ind w:firstLine="480"/>
        <w:jc w:val="left"/>
        <w:rPr>
          <w:rStyle w:val="19"/>
          <w:color w:val="000000"/>
          <w:sz w:val="24"/>
          <w:szCs w:val="24"/>
          <w:u w:color="000000"/>
          <w:lang w:val="zh-TW" w:eastAsia="zh-TW"/>
        </w:rPr>
      </w:pPr>
      <w:r>
        <w:rPr>
          <w:rStyle w:val="19"/>
          <w:color w:val="000000"/>
          <w:sz w:val="24"/>
          <w:szCs w:val="24"/>
          <w:u w:color="000000"/>
          <w:lang w:val="zh-TW" w:eastAsia="zh-TW"/>
        </w:rPr>
        <w:t>将完成的模块接入到管控平台的系统线路中，并运行调试成功。</w:t>
      </w:r>
    </w:p>
    <w:p>
      <w:pPr>
        <w:framePr w:w="0" w:wrap="auto" w:vAnchor="margin" w:hAnchor="text" w:yAlign="inline"/>
        <w:spacing w:line="360" w:lineRule="auto"/>
        <w:ind w:firstLine="480"/>
        <w:jc w:val="left"/>
        <w:rPr>
          <w:rStyle w:val="19"/>
          <w:sz w:val="24"/>
          <w:szCs w:val="24"/>
        </w:rPr>
      </w:pPr>
      <w:r>
        <w:rPr>
          <w:rStyle w:val="19"/>
          <w:sz w:val="24"/>
          <w:szCs w:val="24"/>
          <w:lang w:val="en-US"/>
        </w:rPr>
        <w:t xml:space="preserve">2.2  </w:t>
      </w:r>
      <w:r>
        <w:rPr>
          <w:rStyle w:val="19"/>
          <w:sz w:val="24"/>
          <w:szCs w:val="24"/>
          <w:lang w:val="zh-TW" w:eastAsia="zh-TW"/>
        </w:rPr>
        <w:t>组态系统界面设计</w:t>
      </w:r>
    </w:p>
    <w:p>
      <w:pPr>
        <w:framePr w:w="0" w:wrap="auto" w:vAnchor="margin" w:hAnchor="text" w:yAlign="inline"/>
        <w:spacing w:line="360" w:lineRule="auto"/>
        <w:ind w:firstLine="480"/>
        <w:jc w:val="left"/>
        <w:rPr>
          <w:rStyle w:val="19"/>
          <w:sz w:val="24"/>
          <w:szCs w:val="24"/>
        </w:rPr>
      </w:pPr>
      <w:r>
        <w:rPr>
          <w:rStyle w:val="19"/>
          <w:sz w:val="24"/>
          <w:szCs w:val="24"/>
          <w:lang w:val="zh-TW" w:eastAsia="zh-TW"/>
        </w:rPr>
        <w:t>打开计算机上预先安装好的组态系统（管控平台软件，桌面有快捷方式），选择在实训列表中的</w:t>
      </w:r>
      <w:r>
        <w:rPr>
          <w:rStyle w:val="19"/>
          <w:sz w:val="24"/>
          <w:szCs w:val="24"/>
          <w:lang w:val="en-US"/>
        </w:rPr>
        <w:t>“2017</w:t>
      </w:r>
      <w:r>
        <w:rPr>
          <w:rStyle w:val="19"/>
          <w:sz w:val="24"/>
          <w:szCs w:val="24"/>
          <w:lang w:val="zh-TW" w:eastAsia="zh-TW"/>
        </w:rPr>
        <w:t>年光伏电子工程的设计与实施</w:t>
      </w:r>
      <w:r>
        <w:rPr>
          <w:rStyle w:val="19"/>
          <w:sz w:val="24"/>
          <w:szCs w:val="24"/>
          <w:lang w:val="en-US"/>
        </w:rPr>
        <w:t>”</w:t>
      </w:r>
      <w:r>
        <w:rPr>
          <w:rStyle w:val="19"/>
          <w:sz w:val="24"/>
          <w:szCs w:val="24"/>
          <w:lang w:val="zh-TW" w:eastAsia="zh-TW"/>
        </w:rPr>
        <w:t>这一项（空白界面），在此项目界面上，调出工具箱对能源工程系统的管控界面进行设计。</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界面中须包含系统全部的功能器件，有数据采集结果和曲线；</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界面排列整齐美观。</w:t>
      </w:r>
    </w:p>
    <w:p>
      <w:pPr>
        <w:framePr w:w="0" w:wrap="auto" w:vAnchor="margin" w:hAnchor="text" w:yAlign="inline"/>
        <w:spacing w:line="360" w:lineRule="auto"/>
        <w:ind w:firstLine="480"/>
        <w:jc w:val="left"/>
        <w:rPr>
          <w:rStyle w:val="19"/>
          <w:sz w:val="24"/>
          <w:szCs w:val="24"/>
        </w:rPr>
      </w:pPr>
      <w:r>
        <w:rPr>
          <w:rStyle w:val="19"/>
          <w:sz w:val="24"/>
          <w:szCs w:val="24"/>
          <w:lang w:val="en-US"/>
        </w:rPr>
        <w:t xml:space="preserve">2.3  </w:t>
      </w:r>
      <w:r>
        <w:rPr>
          <w:rStyle w:val="19"/>
          <w:sz w:val="24"/>
          <w:szCs w:val="24"/>
          <w:lang w:val="zh-TW" w:eastAsia="zh-TW"/>
        </w:rPr>
        <w:t>整机系统联合调试</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在组态系统上，使用上一个步骤设计好的管控界面对光伏电子系统进行整机完整的联合调试。</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numPr>
          <w:ilvl w:val="0"/>
          <w:numId w:val="8"/>
        </w:numPr>
        <w:bidi w:val="0"/>
        <w:spacing w:line="360" w:lineRule="auto"/>
        <w:ind w:right="0"/>
        <w:jc w:val="left"/>
        <w:rPr>
          <w:rStyle w:val="15"/>
          <w:sz w:val="24"/>
          <w:szCs w:val="24"/>
          <w:lang w:val="zh-TW" w:eastAsia="zh-TW"/>
        </w:rPr>
      </w:pPr>
      <w:r>
        <w:rPr>
          <w:rStyle w:val="15"/>
          <w:sz w:val="24"/>
          <w:szCs w:val="24"/>
          <w:lang w:val="zh-TW" w:eastAsia="zh-TW"/>
        </w:rPr>
        <w:t>调试光伏电子系统的环境控制及采集功能，使界面上可显示环境模拟平台上的温度、光照度、风速等数据，且数据合理，可以使用界面控制风机开启关闭、日照灯开启关闭、日光轨迹模拟系统开启关闭复位；</w:t>
      </w:r>
    </w:p>
    <w:p>
      <w:pPr>
        <w:framePr w:w="0" w:wrap="auto" w:vAnchor="margin" w:hAnchor="text" w:yAlign="inline"/>
        <w:numPr>
          <w:ilvl w:val="0"/>
          <w:numId w:val="8"/>
        </w:numPr>
        <w:bidi w:val="0"/>
        <w:spacing w:line="360" w:lineRule="auto"/>
        <w:ind w:right="0"/>
        <w:jc w:val="left"/>
        <w:rPr>
          <w:rStyle w:val="15"/>
          <w:sz w:val="24"/>
          <w:szCs w:val="24"/>
          <w:lang w:val="zh-TW" w:eastAsia="zh-TW"/>
        </w:rPr>
      </w:pPr>
      <w:r>
        <w:rPr>
          <w:rStyle w:val="15"/>
          <w:sz w:val="24"/>
          <w:szCs w:val="24"/>
          <w:lang w:val="zh-TW" w:eastAsia="zh-TW"/>
        </w:rPr>
        <w:t>调试光伏电子系统的电力管控功能，使界面上可以分别控制开关光伏系统发电，开关直流负载，开关交流负载，开关储能，开关逆变，获取直流负载端和交流负载端的电压、电流数据，令其控制准确有效；</w:t>
      </w:r>
    </w:p>
    <w:p>
      <w:pPr>
        <w:framePr w:w="0" w:wrap="auto" w:vAnchor="margin" w:hAnchor="text" w:yAlign="inline"/>
        <w:spacing w:line="360" w:lineRule="auto"/>
        <w:ind w:firstLine="480"/>
        <w:jc w:val="left"/>
        <w:rPr>
          <w:rStyle w:val="19"/>
          <w:sz w:val="24"/>
          <w:szCs w:val="24"/>
        </w:rPr>
      </w:pPr>
      <w:r>
        <w:rPr>
          <w:rStyle w:val="19"/>
          <w:sz w:val="24"/>
          <w:szCs w:val="24"/>
          <w:lang w:val="en-US"/>
        </w:rPr>
        <w:t xml:space="preserve">2.4  </w:t>
      </w:r>
      <w:r>
        <w:rPr>
          <w:rStyle w:val="19"/>
          <w:sz w:val="24"/>
          <w:szCs w:val="24"/>
          <w:lang w:val="zh-TW" w:eastAsia="zh-TW"/>
        </w:rPr>
        <w:t>控制程序设计开发</w:t>
      </w:r>
    </w:p>
    <w:p>
      <w:pPr>
        <w:framePr w:w="0" w:wrap="auto" w:vAnchor="margin" w:hAnchor="text" w:yAlign="inline"/>
        <w:spacing w:line="360" w:lineRule="auto"/>
        <w:ind w:firstLine="480"/>
        <w:jc w:val="left"/>
        <w:rPr>
          <w:rStyle w:val="19"/>
          <w:sz w:val="24"/>
          <w:szCs w:val="24"/>
        </w:rPr>
      </w:pPr>
      <w:r>
        <w:rPr>
          <w:rStyle w:val="19"/>
          <w:sz w:val="24"/>
          <w:szCs w:val="24"/>
          <w:lang w:val="zh-TW" w:eastAsia="zh-TW"/>
        </w:rPr>
        <w:t>利用计算机里预先提供的</w:t>
      </w:r>
      <w:r>
        <w:rPr>
          <w:rStyle w:val="19"/>
          <w:sz w:val="24"/>
          <w:szCs w:val="24"/>
          <w:lang w:val="en-US"/>
        </w:rPr>
        <w:t>PLC</w:t>
      </w:r>
      <w:r>
        <w:rPr>
          <w:rStyle w:val="19"/>
          <w:sz w:val="24"/>
          <w:szCs w:val="24"/>
          <w:lang w:val="zh-TW" w:eastAsia="zh-TW"/>
        </w:rPr>
        <w:t>开发资料（文件夹放置在桌面，包括调用库及库说明文档），打开</w:t>
      </w:r>
      <w:r>
        <w:rPr>
          <w:rStyle w:val="19"/>
          <w:sz w:val="24"/>
          <w:szCs w:val="24"/>
          <w:lang w:val="en-US"/>
        </w:rPr>
        <w:t>Visu</w:t>
      </w:r>
      <w:r>
        <w:rPr>
          <w:rStyle w:val="19"/>
          <w:color w:val="000000"/>
          <w:sz w:val="24"/>
          <w:szCs w:val="24"/>
          <w:u w:color="000000"/>
          <w:lang w:val="en-US"/>
        </w:rPr>
        <w:t>a</w:t>
      </w:r>
      <w:r>
        <w:rPr>
          <w:rStyle w:val="19"/>
          <w:sz w:val="24"/>
          <w:szCs w:val="24"/>
          <w:lang w:val="en-US"/>
        </w:rPr>
        <w:t>l Studio 2015</w:t>
      </w:r>
      <w:r>
        <w:rPr>
          <w:rStyle w:val="19"/>
          <w:sz w:val="24"/>
          <w:szCs w:val="24"/>
          <w:lang w:val="zh-TW" w:eastAsia="zh-TW"/>
        </w:rPr>
        <w:t>，打开竞赛资料提供的</w:t>
      </w:r>
      <w:r>
        <w:rPr>
          <w:rStyle w:val="19"/>
          <w:sz w:val="24"/>
          <w:szCs w:val="24"/>
          <w:lang w:val="en-US"/>
        </w:rPr>
        <w:t>C#</w:t>
      </w:r>
      <w:r>
        <w:rPr>
          <w:rStyle w:val="19"/>
          <w:sz w:val="24"/>
          <w:szCs w:val="24"/>
          <w:lang w:val="zh-TW" w:eastAsia="zh-TW"/>
        </w:rPr>
        <w:t>项目，在现有</w:t>
      </w:r>
      <w:r>
        <w:rPr>
          <w:rStyle w:val="19"/>
          <w:sz w:val="24"/>
          <w:szCs w:val="24"/>
          <w:lang w:val="en-US"/>
        </w:rPr>
        <w:t>C#</w:t>
      </w:r>
      <w:r>
        <w:rPr>
          <w:rStyle w:val="19"/>
          <w:sz w:val="24"/>
          <w:szCs w:val="24"/>
          <w:lang w:val="zh-TW" w:eastAsia="zh-TW"/>
        </w:rPr>
        <w:t>工程项目基础上编程实现如下要求。</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要求：</w:t>
      </w:r>
    </w:p>
    <w:p>
      <w:pPr>
        <w:framePr w:w="0" w:wrap="auto" w:vAnchor="margin" w:hAnchor="text" w:yAlign="inline"/>
        <w:numPr>
          <w:ilvl w:val="0"/>
          <w:numId w:val="9"/>
        </w:numPr>
        <w:bidi w:val="0"/>
        <w:spacing w:line="360" w:lineRule="auto"/>
        <w:ind w:right="0"/>
        <w:jc w:val="left"/>
        <w:rPr>
          <w:rStyle w:val="15"/>
          <w:sz w:val="24"/>
          <w:szCs w:val="24"/>
          <w:lang w:val="zh-TW" w:eastAsia="zh-TW"/>
        </w:rPr>
      </w:pPr>
      <w:r>
        <w:rPr>
          <w:rStyle w:val="15"/>
          <w:sz w:val="24"/>
          <w:szCs w:val="24"/>
          <w:lang w:val="zh-TW" w:eastAsia="zh-TW"/>
        </w:rPr>
        <w:t>软件完整实现组态系统中对于环境数据采集和控制功能，可实现对于电力管控所有功能的开关控制；</w:t>
      </w:r>
    </w:p>
    <w:p>
      <w:pPr>
        <w:framePr w:w="0" w:wrap="auto" w:vAnchor="margin" w:hAnchor="text" w:yAlign="inline"/>
        <w:numPr>
          <w:ilvl w:val="0"/>
          <w:numId w:val="9"/>
        </w:numPr>
        <w:bidi w:val="0"/>
        <w:spacing w:line="360" w:lineRule="auto"/>
        <w:ind w:right="0"/>
        <w:jc w:val="left"/>
        <w:rPr>
          <w:rStyle w:val="19"/>
          <w:sz w:val="24"/>
          <w:szCs w:val="24"/>
          <w:lang w:val="zh-TW" w:eastAsia="zh-TW"/>
        </w:rPr>
      </w:pPr>
      <w:r>
        <w:rPr>
          <w:rStyle w:val="15"/>
          <w:sz w:val="24"/>
          <w:szCs w:val="24"/>
          <w:lang w:val="zh-TW" w:eastAsia="zh-TW"/>
        </w:rPr>
        <w:t>软件可实现针对环境的智能逻辑控制，当光照度超过</w:t>
      </w:r>
      <w:r>
        <w:rPr>
          <w:rStyle w:val="14"/>
          <w:sz w:val="24"/>
          <w:szCs w:val="24"/>
          <w:lang w:val="en-US"/>
        </w:rPr>
        <w:t>2000</w:t>
      </w:r>
      <w:r>
        <w:rPr>
          <w:rStyle w:val="15"/>
          <w:sz w:val="24"/>
          <w:szCs w:val="24"/>
          <w:lang w:val="zh-TW" w:eastAsia="zh-TW"/>
        </w:rPr>
        <w:t>流明度时自动开启地面光伏发电，低于等于</w:t>
      </w:r>
      <w:r>
        <w:rPr>
          <w:rStyle w:val="14"/>
          <w:sz w:val="24"/>
          <w:szCs w:val="24"/>
          <w:lang w:val="en-US"/>
        </w:rPr>
        <w:t>2000</w:t>
      </w:r>
      <w:r>
        <w:rPr>
          <w:rStyle w:val="15"/>
          <w:sz w:val="24"/>
          <w:szCs w:val="24"/>
          <w:lang w:val="zh-TW" w:eastAsia="zh-TW"/>
        </w:rPr>
        <w:t>流明度时自动关闭地面光伏发电；</w:t>
      </w:r>
    </w:p>
    <w:p>
      <w:pPr>
        <w:framePr w:w="0" w:wrap="auto" w:vAnchor="margin" w:hAnchor="text" w:yAlign="inline"/>
        <w:numPr>
          <w:ilvl w:val="0"/>
          <w:numId w:val="9"/>
        </w:numPr>
        <w:bidi w:val="0"/>
        <w:spacing w:line="360" w:lineRule="auto"/>
        <w:ind w:right="0"/>
        <w:jc w:val="left"/>
        <w:rPr>
          <w:rStyle w:val="15"/>
          <w:sz w:val="24"/>
          <w:szCs w:val="24"/>
          <w:lang w:val="zh-TW" w:eastAsia="zh-TW"/>
        </w:rPr>
      </w:pPr>
      <w:r>
        <w:rPr>
          <w:rStyle w:val="15"/>
          <w:sz w:val="24"/>
          <w:szCs w:val="24"/>
          <w:lang w:val="zh-TW" w:eastAsia="zh-TW"/>
        </w:rPr>
        <w:t>要求系统数据采集准确，控制有效，界面合理、有序，人机交互功能好。</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注意事项：</w:t>
      </w:r>
    </w:p>
    <w:p>
      <w:pPr>
        <w:framePr w:w="0" w:wrap="auto" w:vAnchor="margin" w:hAnchor="text" w:yAlign="inline"/>
        <w:spacing w:line="360" w:lineRule="auto"/>
        <w:ind w:firstLine="480"/>
        <w:jc w:val="left"/>
        <w:rPr>
          <w:rStyle w:val="19"/>
          <w:sz w:val="24"/>
          <w:szCs w:val="24"/>
          <w:lang w:val="zh-TW" w:eastAsia="zh-TW"/>
        </w:rPr>
      </w:pPr>
      <w:r>
        <w:rPr>
          <w:rStyle w:val="19"/>
          <w:sz w:val="24"/>
          <w:szCs w:val="24"/>
          <w:lang w:val="zh-TW" w:eastAsia="zh-TW"/>
        </w:rPr>
        <w:t>控制程序开发使用的调用库，会与运行中的组态系统发生接口占用冲突，所以不要同时开启组态系统和开发的控制程序，使用时须分别调试。</w:t>
      </w:r>
    </w:p>
    <w:p>
      <w:pPr>
        <w:framePr w:w="0" w:wrap="auto" w:vAnchor="margin" w:hAnchor="text" w:yAlign="inline"/>
        <w:spacing w:line="360" w:lineRule="auto"/>
        <w:ind w:firstLine="480"/>
        <w:jc w:val="left"/>
        <w:rPr>
          <w:rStyle w:val="19"/>
          <w:sz w:val="24"/>
          <w:szCs w:val="24"/>
        </w:rPr>
      </w:pPr>
      <w:r>
        <w:rPr>
          <w:rStyle w:val="19"/>
          <w:sz w:val="24"/>
          <w:szCs w:val="24"/>
          <w:lang w:val="en-US"/>
        </w:rPr>
        <w:t>3</w:t>
      </w:r>
      <w:r>
        <w:rPr>
          <w:rStyle w:val="19"/>
          <w:sz w:val="24"/>
          <w:szCs w:val="24"/>
          <w:lang w:val="zh-TW" w:eastAsia="zh-TW"/>
        </w:rPr>
        <w:t>、区域能源分析与排布</w:t>
      </w:r>
    </w:p>
    <w:p>
      <w:pPr>
        <w:framePr w:w="0" w:wrap="auto" w:vAnchor="margin" w:hAnchor="text" w:yAlign="inline"/>
        <w:spacing w:line="360" w:lineRule="auto"/>
        <w:ind w:firstLine="480"/>
        <w:jc w:val="left"/>
        <w:rPr>
          <w:rStyle w:val="19"/>
          <w:kern w:val="0"/>
          <w:sz w:val="24"/>
          <w:szCs w:val="24"/>
          <w:lang w:val="zh-TW" w:eastAsia="zh-TW"/>
        </w:rPr>
      </w:pPr>
      <w:r>
        <w:rPr>
          <w:rStyle w:val="19"/>
          <w:color w:val="000000"/>
          <w:kern w:val="0"/>
          <w:sz w:val="24"/>
          <w:szCs w:val="24"/>
          <w:u w:color="000000"/>
          <w:lang w:val="zh-TW" w:eastAsia="zh-TW"/>
        </w:rPr>
        <w:t>光伏电站选址与容量设计</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根据下面设计方法，设置光伏电站总容量</w:t>
      </w:r>
      <w:r>
        <w:rPr>
          <w:rStyle w:val="19"/>
          <w:color w:val="000000"/>
          <w:kern w:val="0"/>
          <w:sz w:val="24"/>
          <w:szCs w:val="24"/>
          <w:u w:color="000000"/>
          <w:lang w:val="en-US"/>
        </w:rPr>
        <w:t>________</w:t>
      </w:r>
      <w:r>
        <w:rPr>
          <w:rStyle w:val="19"/>
          <w:color w:val="000000"/>
          <w:kern w:val="0"/>
          <w:sz w:val="24"/>
          <w:szCs w:val="24"/>
          <w:u w:color="000000"/>
          <w:lang w:val="zh-TW" w:eastAsia="zh-TW"/>
        </w:rPr>
        <w:t>，计划占</w:t>
      </w:r>
      <w:r>
        <w:rPr>
          <w:rStyle w:val="19"/>
          <w:color w:val="000000"/>
          <w:kern w:val="0"/>
          <w:sz w:val="24"/>
          <w:szCs w:val="24"/>
          <w:u w:color="000000"/>
          <w:lang w:val="en-US"/>
        </w:rPr>
        <w:t>________</w:t>
      </w:r>
      <w:r>
        <w:rPr>
          <w:rStyle w:val="19"/>
          <w:color w:val="000000"/>
          <w:kern w:val="0"/>
          <w:sz w:val="24"/>
          <w:szCs w:val="24"/>
          <w:u w:color="000000"/>
          <w:lang w:val="zh-TW" w:eastAsia="zh-TW"/>
        </w:rPr>
        <w:t>单位面积。根据上述光伏电站容量分析，综合考虑各项因素，在规划平台中合理位置部署光伏电站，设置合适容量（软件中的格子）。</w:t>
      </w:r>
    </w:p>
    <w:p>
      <w:pPr>
        <w:framePr w:w="0" w:wrap="auto" w:vAnchor="margin" w:hAnchor="text" w:yAlign="inline"/>
        <w:spacing w:line="360" w:lineRule="auto"/>
        <w:ind w:firstLine="480"/>
        <w:jc w:val="left"/>
        <w:rPr>
          <w:rStyle w:val="19"/>
          <w:kern w:val="0"/>
          <w:sz w:val="24"/>
          <w:szCs w:val="24"/>
          <w:lang w:val="zh-TW" w:eastAsia="zh-TW"/>
        </w:rPr>
      </w:pPr>
      <w:r>
        <w:rPr>
          <w:rStyle w:val="19"/>
          <w:color w:val="000000"/>
          <w:kern w:val="0"/>
          <w:sz w:val="24"/>
          <w:szCs w:val="24"/>
          <w:u w:color="000000"/>
          <w:lang w:val="zh-TW" w:eastAsia="zh-TW"/>
        </w:rPr>
        <w:t>设计方法：</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en-US"/>
        </w:rPr>
        <w:t xml:space="preserve">    3.1</w:t>
      </w:r>
      <w:r>
        <w:rPr>
          <w:rStyle w:val="19"/>
          <w:color w:val="000000"/>
          <w:kern w:val="0"/>
          <w:sz w:val="24"/>
          <w:szCs w:val="24"/>
          <w:u w:color="000000"/>
          <w:lang w:val="zh-TW" w:eastAsia="zh-TW"/>
        </w:rPr>
        <w:t>、规划平台单位面积</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规划平台中每格面积</w:t>
      </w:r>
      <w:r>
        <w:rPr>
          <w:rStyle w:val="19"/>
          <w:color w:val="000000"/>
          <w:kern w:val="0"/>
          <w:sz w:val="24"/>
          <w:szCs w:val="24"/>
          <w:u w:color="000000"/>
          <w:lang w:val="en-US"/>
        </w:rPr>
        <w:t>S</w:t>
      </w:r>
      <w:r>
        <w:rPr>
          <w:rStyle w:val="19"/>
          <w:color w:val="000000"/>
          <w:kern w:val="0"/>
          <w:sz w:val="24"/>
          <w:szCs w:val="24"/>
          <w:u w:color="000000"/>
          <w:lang w:val="zh-TW" w:eastAsia="zh-TW"/>
        </w:rPr>
        <w:t>（单位面积）为</w:t>
      </w:r>
      <w:r>
        <w:rPr>
          <w:rStyle w:val="19"/>
          <w:color w:val="000000"/>
          <w:kern w:val="0"/>
          <w:sz w:val="24"/>
          <w:szCs w:val="24"/>
          <w:u w:color="000000"/>
          <w:lang w:val="en-US"/>
        </w:rPr>
        <w:t>50m×50m=2500m</w:t>
      </w:r>
      <w:r>
        <w:rPr>
          <w:rStyle w:val="19"/>
          <w:color w:val="000000"/>
          <w:kern w:val="0"/>
          <w:sz w:val="24"/>
          <w:szCs w:val="24"/>
          <w:u w:color="000000"/>
          <w:vertAlign w:val="superscript"/>
          <w:lang w:val="en-US"/>
        </w:rPr>
        <w:t>2</w:t>
      </w:r>
      <w:r>
        <w:rPr>
          <w:rStyle w:val="19"/>
          <w:color w:val="000000"/>
          <w:kern w:val="0"/>
          <w:sz w:val="24"/>
          <w:szCs w:val="24"/>
          <w:u w:color="000000"/>
          <w:lang w:val="zh-TW" w:eastAsia="zh-TW"/>
        </w:rPr>
        <w:t>，即每格太阳能系统实际占地为</w:t>
      </w:r>
      <w:r>
        <w:rPr>
          <w:rStyle w:val="19"/>
          <w:color w:val="000000"/>
          <w:kern w:val="0"/>
          <w:sz w:val="24"/>
          <w:szCs w:val="24"/>
          <w:u w:color="000000"/>
          <w:lang w:val="en-US"/>
        </w:rPr>
        <w:t>2500m</w:t>
      </w:r>
      <w:r>
        <w:rPr>
          <w:rStyle w:val="19"/>
          <w:color w:val="000000"/>
          <w:kern w:val="0"/>
          <w:sz w:val="24"/>
          <w:szCs w:val="24"/>
          <w:u w:color="000000"/>
          <w:vertAlign w:val="superscript"/>
          <w:lang w:val="en-US"/>
        </w:rPr>
        <w:t>2</w:t>
      </w:r>
      <w:r>
        <w:rPr>
          <w:rStyle w:val="19"/>
          <w:color w:val="000000"/>
          <w:kern w:val="0"/>
          <w:sz w:val="24"/>
          <w:szCs w:val="24"/>
          <w:u w:color="000000"/>
          <w:lang w:val="zh-TW" w:eastAsia="zh-TW"/>
        </w:rPr>
        <w:t>；</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en-US"/>
        </w:rPr>
        <w:t xml:space="preserve">    3.2</w:t>
      </w:r>
      <w:r>
        <w:rPr>
          <w:rStyle w:val="19"/>
          <w:color w:val="000000"/>
          <w:kern w:val="0"/>
          <w:sz w:val="24"/>
          <w:szCs w:val="24"/>
          <w:u w:color="000000"/>
          <w:lang w:val="zh-TW" w:eastAsia="zh-TW"/>
        </w:rPr>
        <w:t>、单位面积光伏系统容量分析</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首先确定单位面积中用于摆放光伏电池组件的有效面积。电池组件有效面积与当地维度参数相关。例如位于新疆阿克苏市（</w:t>
      </w:r>
      <w:r>
        <w:rPr>
          <w:rStyle w:val="19"/>
          <w:color w:val="000000"/>
          <w:kern w:val="0"/>
          <w:sz w:val="24"/>
          <w:szCs w:val="24"/>
          <w:u w:color="000000"/>
          <w:lang w:val="en-US"/>
        </w:rPr>
        <w:t>80.3</w:t>
      </w:r>
      <w:r>
        <w:rPr>
          <w:rStyle w:val="19"/>
          <w:color w:val="000000"/>
          <w:kern w:val="0"/>
          <w:sz w:val="24"/>
          <w:szCs w:val="24"/>
          <w:u w:color="000000"/>
          <w:lang w:val="zh-TW" w:eastAsia="zh-TW"/>
        </w:rPr>
        <w:t>度，纬度为</w:t>
      </w:r>
      <w:r>
        <w:rPr>
          <w:rStyle w:val="19"/>
          <w:color w:val="000000"/>
          <w:kern w:val="0"/>
          <w:sz w:val="24"/>
          <w:szCs w:val="24"/>
          <w:u w:color="000000"/>
          <w:lang w:val="en-US"/>
        </w:rPr>
        <w:t>41.2</w:t>
      </w:r>
      <w:r>
        <w:rPr>
          <w:rStyle w:val="19"/>
          <w:color w:val="000000"/>
          <w:kern w:val="0"/>
          <w:sz w:val="24"/>
          <w:szCs w:val="24"/>
          <w:u w:color="000000"/>
          <w:lang w:val="zh-TW" w:eastAsia="zh-TW"/>
        </w:rPr>
        <w:t>度）</w:t>
      </w:r>
      <w:r>
        <w:rPr>
          <w:rStyle w:val="19"/>
          <w:color w:val="000000"/>
          <w:kern w:val="0"/>
          <w:sz w:val="24"/>
          <w:szCs w:val="24"/>
          <w:u w:color="000000"/>
          <w:lang w:val="en-US"/>
        </w:rPr>
        <w:t>10MW</w:t>
      </w:r>
      <w:r>
        <w:rPr>
          <w:rStyle w:val="19"/>
          <w:color w:val="000000"/>
          <w:kern w:val="0"/>
          <w:sz w:val="24"/>
          <w:szCs w:val="24"/>
          <w:u w:color="000000"/>
          <w:lang w:val="zh-TW" w:eastAsia="zh-TW"/>
        </w:rPr>
        <w:t>光伏电站电池组件间距如下图所示；</w:t>
      </w:r>
    </w:p>
    <w:p>
      <w:pPr>
        <w:framePr w:w="0" w:wrap="auto" w:vAnchor="margin" w:hAnchor="text" w:yAlign="inline"/>
        <w:spacing w:line="360" w:lineRule="auto"/>
        <w:rPr>
          <w:rStyle w:val="19"/>
          <w:kern w:val="0"/>
          <w:sz w:val="24"/>
          <w:szCs w:val="24"/>
        </w:rPr>
      </w:pPr>
      <w:r>
        <w:rPr>
          <w:rStyle w:val="19"/>
          <w:kern w:val="0"/>
          <w:sz w:val="24"/>
          <w:szCs w:val="24"/>
        </w:rPr>
        <w:drawing>
          <wp:inline distT="0" distB="0" distL="0" distR="0">
            <wp:extent cx="4095750" cy="1466850"/>
            <wp:effectExtent l="0" t="0" r="0" b="0"/>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0"/>
                    <a:stretch>
                      <a:fillRect/>
                    </a:stretch>
                  </pic:blipFill>
                  <pic:spPr>
                    <a:xfrm>
                      <a:off x="0" y="0"/>
                      <a:ext cx="4095750" cy="1466850"/>
                    </a:xfrm>
                    <a:prstGeom prst="rect">
                      <a:avLst/>
                    </a:prstGeom>
                    <a:ln w="12700" cap="flat">
                      <a:noFill/>
                      <a:miter lim="400000"/>
                      <a:headEnd/>
                      <a:tailEnd/>
                    </a:ln>
                    <a:effectLst/>
                  </pic:spPr>
                </pic:pic>
              </a:graphicData>
            </a:graphic>
          </wp:inline>
        </w:drawing>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从上图中可知，组件倾斜角</w:t>
      </w:r>
      <w:r>
        <w:rPr>
          <w:rStyle w:val="19"/>
          <w:color w:val="000000"/>
          <w:kern w:val="0"/>
          <w:sz w:val="24"/>
          <w:szCs w:val="24"/>
          <w:u w:color="000000"/>
          <w:lang w:val="en-US"/>
        </w:rPr>
        <w:t>ω</w:t>
      </w:r>
      <w:r>
        <w:rPr>
          <w:rStyle w:val="19"/>
          <w:color w:val="000000"/>
          <w:kern w:val="0"/>
          <w:sz w:val="24"/>
          <w:szCs w:val="24"/>
          <w:u w:color="000000"/>
          <w:lang w:val="zh-TW" w:eastAsia="zh-TW"/>
        </w:rPr>
        <w:t>为</w:t>
      </w:r>
      <w:r>
        <w:rPr>
          <w:rStyle w:val="19"/>
          <w:color w:val="000000"/>
          <w:kern w:val="0"/>
          <w:sz w:val="24"/>
          <w:szCs w:val="24"/>
          <w:u w:color="000000"/>
          <w:lang w:val="en-US"/>
        </w:rPr>
        <w:t>41º</w:t>
      </w:r>
      <w:r>
        <w:rPr>
          <w:rStyle w:val="19"/>
          <w:color w:val="000000"/>
          <w:kern w:val="0"/>
          <w:sz w:val="24"/>
          <w:szCs w:val="24"/>
          <w:u w:color="000000"/>
          <w:lang w:val="zh-TW" w:eastAsia="zh-TW"/>
        </w:rPr>
        <w:t>，每行组件长度</w:t>
      </w:r>
      <w:r>
        <w:rPr>
          <w:rStyle w:val="19"/>
          <w:color w:val="000000"/>
          <w:kern w:val="0"/>
          <w:sz w:val="24"/>
          <w:szCs w:val="24"/>
          <w:u w:color="000000"/>
          <w:lang w:val="en-US"/>
        </w:rPr>
        <w:t>L</w:t>
      </w:r>
      <w:r>
        <w:rPr>
          <w:rStyle w:val="19"/>
          <w:color w:val="000000"/>
          <w:kern w:val="0"/>
          <w:sz w:val="24"/>
          <w:szCs w:val="24"/>
          <w:u w:color="000000"/>
          <w:lang w:val="zh-TW" w:eastAsia="zh-TW"/>
        </w:rPr>
        <w:t>为</w:t>
      </w:r>
      <w:r>
        <w:rPr>
          <w:rStyle w:val="19"/>
          <w:color w:val="000000"/>
          <w:kern w:val="0"/>
          <w:sz w:val="24"/>
          <w:szCs w:val="24"/>
          <w:u w:color="000000"/>
          <w:lang w:val="en-US"/>
        </w:rPr>
        <w:t>1590*2mm</w:t>
      </w:r>
      <w:r>
        <w:rPr>
          <w:rStyle w:val="19"/>
          <w:color w:val="000000"/>
          <w:kern w:val="0"/>
          <w:sz w:val="24"/>
          <w:szCs w:val="24"/>
          <w:u w:color="000000"/>
          <w:lang w:val="zh-TW" w:eastAsia="zh-TW"/>
        </w:rPr>
        <w:t>，其在地面的有效长度为，可见组件在水平面的投影约占电站面积的</w:t>
      </w:r>
      <w:r>
        <w:rPr>
          <w:rStyle w:val="19"/>
          <w:color w:val="000000"/>
          <w:kern w:val="0"/>
          <w:sz w:val="24"/>
          <w:szCs w:val="24"/>
          <w:u w:color="000000"/>
          <w:lang w:val="en-US"/>
        </w:rPr>
        <w:t>36%</w:t>
      </w:r>
      <w:r>
        <w:rPr>
          <w:rStyle w:val="19"/>
          <w:color w:val="000000"/>
          <w:kern w:val="0"/>
          <w:sz w:val="24"/>
          <w:szCs w:val="24"/>
          <w:u w:color="000000"/>
          <w:lang w:val="zh-TW" w:eastAsia="zh-TW"/>
        </w:rPr>
        <w:t>，如果把组件实际面积投影到电站面积中，约占</w:t>
      </w:r>
      <w:r>
        <w:rPr>
          <w:rStyle w:val="19"/>
          <w:color w:val="000000"/>
          <w:kern w:val="0"/>
          <w:sz w:val="24"/>
          <w:szCs w:val="24"/>
          <w:u w:color="000000"/>
          <w:lang w:val="en-US"/>
        </w:rPr>
        <w:t>44.4%</w:t>
      </w:r>
      <w:r>
        <w:rPr>
          <w:rStyle w:val="19"/>
          <w:color w:val="000000"/>
          <w:kern w:val="0"/>
          <w:sz w:val="24"/>
          <w:szCs w:val="24"/>
          <w:u w:color="000000"/>
          <w:lang w:val="zh-TW" w:eastAsia="zh-TW"/>
        </w:rPr>
        <w:t>，即光伏电站站区面积的</w:t>
      </w:r>
      <w:r>
        <w:rPr>
          <w:rStyle w:val="19"/>
          <w:color w:val="000000"/>
          <w:kern w:val="0"/>
          <w:sz w:val="24"/>
          <w:szCs w:val="24"/>
          <w:u w:color="000000"/>
          <w:lang w:val="en-US"/>
        </w:rPr>
        <w:t>44.4%</w:t>
      </w:r>
      <w:r>
        <w:rPr>
          <w:rStyle w:val="19"/>
          <w:color w:val="000000"/>
          <w:kern w:val="0"/>
          <w:sz w:val="24"/>
          <w:szCs w:val="24"/>
          <w:u w:color="000000"/>
          <w:lang w:val="zh-TW" w:eastAsia="zh-TW"/>
        </w:rPr>
        <w:t>为电池组件的有效面积。在光伏电站站区中，除了组件及组件间距面积还包含站区通道、配电房等占地面积。所以光伏电站中电池组件的有效面积约占站区面积的</w:t>
      </w:r>
      <w:r>
        <w:rPr>
          <w:rStyle w:val="19"/>
          <w:color w:val="000000"/>
          <w:kern w:val="0"/>
          <w:sz w:val="24"/>
          <w:szCs w:val="24"/>
          <w:u w:color="000000"/>
          <w:lang w:val="en-US"/>
        </w:rPr>
        <w:t>35%</w:t>
      </w:r>
      <w:r>
        <w:rPr>
          <w:rStyle w:val="19"/>
          <w:color w:val="000000"/>
          <w:kern w:val="0"/>
          <w:sz w:val="24"/>
          <w:szCs w:val="24"/>
          <w:u w:color="000000"/>
          <w:lang w:val="zh-TW" w:eastAsia="zh-TW"/>
        </w:rPr>
        <w:t>左右，其值受纬度、倾斜角、组件方阵的跟踪方式而影响。</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所以：每格方格尺寸为</w:t>
      </w:r>
      <w:r>
        <w:rPr>
          <w:rStyle w:val="19"/>
          <w:color w:val="000000"/>
          <w:kern w:val="0"/>
          <w:sz w:val="24"/>
          <w:szCs w:val="24"/>
          <w:u w:color="000000"/>
          <w:lang w:val="en-US"/>
        </w:rPr>
        <w:t>50m*50m</w:t>
      </w:r>
      <w:r>
        <w:rPr>
          <w:rStyle w:val="19"/>
          <w:color w:val="000000"/>
          <w:kern w:val="0"/>
          <w:sz w:val="24"/>
          <w:szCs w:val="24"/>
          <w:u w:color="000000"/>
          <w:lang w:val="zh-TW" w:eastAsia="zh-TW"/>
        </w:rPr>
        <w:t>，面积为</w:t>
      </w:r>
      <w:r>
        <w:rPr>
          <w:rStyle w:val="19"/>
          <w:color w:val="000000"/>
          <w:kern w:val="0"/>
          <w:sz w:val="24"/>
          <w:szCs w:val="24"/>
          <w:u w:color="000000"/>
          <w:lang w:val="en-US"/>
        </w:rPr>
        <w:t>2500</w:t>
      </w:r>
      <w:r>
        <w:rPr>
          <w:rStyle w:val="19"/>
          <w:color w:val="000000"/>
          <w:kern w:val="0"/>
          <w:sz w:val="24"/>
          <w:szCs w:val="24"/>
          <w:u w:color="000000"/>
          <w:lang w:val="zh-TW" w:eastAsia="zh-TW"/>
        </w:rPr>
        <w:t>平方米，实际可以部署有效太阳能组件面积为</w:t>
      </w:r>
      <w:r>
        <w:rPr>
          <w:rStyle w:val="19"/>
          <w:color w:val="000000"/>
          <w:kern w:val="0"/>
          <w:sz w:val="24"/>
          <w:szCs w:val="24"/>
          <w:u w:color="000000"/>
          <w:lang w:val="en-US"/>
        </w:rPr>
        <w:t>875m</w:t>
      </w:r>
      <w:r>
        <w:rPr>
          <w:rStyle w:val="19"/>
          <w:color w:val="000000"/>
          <w:kern w:val="0"/>
          <w:sz w:val="24"/>
          <w:szCs w:val="24"/>
          <w:u w:color="000000"/>
          <w:vertAlign w:val="superscript"/>
          <w:lang w:val="en-US"/>
        </w:rPr>
        <w:t>2</w:t>
      </w:r>
      <w:r>
        <w:rPr>
          <w:rStyle w:val="19"/>
          <w:color w:val="000000"/>
          <w:kern w:val="0"/>
          <w:sz w:val="24"/>
          <w:szCs w:val="24"/>
          <w:u w:color="000000"/>
          <w:lang w:val="zh-TW" w:eastAsia="zh-TW"/>
        </w:rPr>
        <w:t>。</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en-US"/>
        </w:rPr>
        <w:t>3.3</w:t>
      </w:r>
      <w:r>
        <w:rPr>
          <w:rStyle w:val="19"/>
          <w:color w:val="000000"/>
          <w:kern w:val="0"/>
          <w:sz w:val="24"/>
          <w:szCs w:val="24"/>
          <w:u w:color="000000"/>
          <w:lang w:val="zh-TW" w:eastAsia="zh-TW"/>
        </w:rPr>
        <w:t>、单位面积每天发电量分析</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每格方格尺寸为</w:t>
      </w:r>
      <w:r>
        <w:rPr>
          <w:rStyle w:val="19"/>
          <w:color w:val="000000"/>
          <w:kern w:val="0"/>
          <w:sz w:val="24"/>
          <w:szCs w:val="24"/>
          <w:u w:color="000000"/>
          <w:lang w:val="en-US"/>
        </w:rPr>
        <w:t>50m*50m</w:t>
      </w:r>
      <w:r>
        <w:rPr>
          <w:rStyle w:val="19"/>
          <w:color w:val="000000"/>
          <w:kern w:val="0"/>
          <w:sz w:val="24"/>
          <w:szCs w:val="24"/>
          <w:u w:color="000000"/>
          <w:lang w:val="zh-TW" w:eastAsia="zh-TW"/>
        </w:rPr>
        <w:t>，面积为</w:t>
      </w:r>
      <w:r>
        <w:rPr>
          <w:rStyle w:val="19"/>
          <w:color w:val="000000"/>
          <w:kern w:val="0"/>
          <w:sz w:val="24"/>
          <w:szCs w:val="24"/>
          <w:u w:color="000000"/>
          <w:lang w:val="en-US"/>
        </w:rPr>
        <w:t>2500</w:t>
      </w:r>
      <w:r>
        <w:rPr>
          <w:rStyle w:val="19"/>
          <w:color w:val="000000"/>
          <w:kern w:val="0"/>
          <w:sz w:val="24"/>
          <w:szCs w:val="24"/>
          <w:u w:color="000000"/>
          <w:lang w:val="zh-TW" w:eastAsia="zh-TW"/>
        </w:rPr>
        <w:t>平方米，实际可以部署有效太阳能组件面积为</w:t>
      </w:r>
      <w:r>
        <w:rPr>
          <w:rStyle w:val="19"/>
          <w:color w:val="000000"/>
          <w:kern w:val="0"/>
          <w:sz w:val="24"/>
          <w:szCs w:val="24"/>
          <w:u w:color="000000"/>
          <w:lang w:val="en-US"/>
        </w:rPr>
        <w:t>875m</w:t>
      </w:r>
      <w:r>
        <w:rPr>
          <w:rStyle w:val="19"/>
          <w:color w:val="000000"/>
          <w:kern w:val="0"/>
          <w:sz w:val="24"/>
          <w:szCs w:val="24"/>
          <w:u w:color="000000"/>
          <w:vertAlign w:val="superscript"/>
          <w:lang w:val="en-US"/>
        </w:rPr>
        <w:t>2</w:t>
      </w:r>
      <w:r>
        <w:rPr>
          <w:rStyle w:val="19"/>
          <w:color w:val="000000"/>
          <w:kern w:val="0"/>
          <w:sz w:val="24"/>
          <w:szCs w:val="24"/>
          <w:u w:color="000000"/>
          <w:lang w:val="zh-TW" w:eastAsia="zh-TW"/>
        </w:rPr>
        <w:t>。光伏组件转换效率为</w:t>
      </w:r>
      <w:r>
        <w:rPr>
          <w:rStyle w:val="19"/>
          <w:color w:val="000000"/>
          <w:kern w:val="0"/>
          <w:sz w:val="24"/>
          <w:szCs w:val="24"/>
          <w:u w:color="000000"/>
          <w:lang w:val="en-US"/>
        </w:rPr>
        <w:t>15%</w:t>
      </w:r>
      <w:r>
        <w:rPr>
          <w:rStyle w:val="19"/>
          <w:color w:val="000000"/>
          <w:kern w:val="0"/>
          <w:sz w:val="24"/>
          <w:szCs w:val="24"/>
          <w:u w:color="000000"/>
          <w:lang w:val="zh-TW" w:eastAsia="zh-TW"/>
        </w:rPr>
        <w:t>（设定：</w:t>
      </w:r>
      <w:r>
        <w:rPr>
          <w:rStyle w:val="19"/>
          <w:color w:val="000000"/>
          <w:kern w:val="0"/>
          <w:sz w:val="24"/>
          <w:szCs w:val="24"/>
          <w:u w:color="000000"/>
          <w:lang w:val="en-US"/>
        </w:rPr>
        <w:t>1</w:t>
      </w:r>
      <w:r>
        <w:rPr>
          <w:rStyle w:val="19"/>
          <w:color w:val="000000"/>
          <w:kern w:val="0"/>
          <w:sz w:val="24"/>
          <w:szCs w:val="24"/>
          <w:u w:color="000000"/>
          <w:lang w:val="zh-TW" w:eastAsia="zh-TW"/>
        </w:rPr>
        <w:t>平方光伏组件实际产能功率</w:t>
      </w:r>
      <w:r>
        <w:rPr>
          <w:rStyle w:val="19"/>
          <w:color w:val="000000"/>
          <w:kern w:val="0"/>
          <w:sz w:val="24"/>
          <w:szCs w:val="24"/>
          <w:u w:color="000000"/>
          <w:lang w:val="en-US"/>
        </w:rPr>
        <w:t>150W</w:t>
      </w:r>
      <w:r>
        <w:rPr>
          <w:rStyle w:val="19"/>
          <w:color w:val="000000"/>
          <w:kern w:val="0"/>
          <w:sz w:val="24"/>
          <w:szCs w:val="24"/>
          <w:u w:color="000000"/>
          <w:lang w:val="zh-TW" w:eastAsia="zh-TW"/>
        </w:rPr>
        <w:t>），则</w:t>
      </w:r>
      <w:r>
        <w:rPr>
          <w:rStyle w:val="19"/>
          <w:color w:val="000000"/>
          <w:kern w:val="0"/>
          <w:sz w:val="24"/>
          <w:szCs w:val="24"/>
          <w:u w:color="000000"/>
          <w:lang w:val="en-US"/>
        </w:rPr>
        <w:t>50m*50m</w:t>
      </w:r>
      <w:r>
        <w:rPr>
          <w:rStyle w:val="19"/>
          <w:color w:val="000000"/>
          <w:kern w:val="0"/>
          <w:sz w:val="24"/>
          <w:szCs w:val="24"/>
          <w:u w:color="000000"/>
          <w:lang w:val="zh-TW" w:eastAsia="zh-TW"/>
        </w:rPr>
        <w:t>面积可以放置实际产能</w:t>
      </w:r>
      <w:r>
        <w:rPr>
          <w:rStyle w:val="19"/>
          <w:color w:val="000000"/>
          <w:kern w:val="0"/>
          <w:sz w:val="24"/>
          <w:szCs w:val="24"/>
          <w:u w:color="000000"/>
          <w:lang w:val="en-US"/>
        </w:rPr>
        <w:t>131.25KW</w:t>
      </w:r>
      <w:r>
        <w:rPr>
          <w:rStyle w:val="19"/>
          <w:color w:val="000000"/>
          <w:kern w:val="0"/>
          <w:sz w:val="24"/>
          <w:szCs w:val="24"/>
          <w:u w:color="000000"/>
          <w:lang w:val="zh-TW" w:eastAsia="zh-TW"/>
        </w:rPr>
        <w:t>的组件。</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单位面积每天发电量</w:t>
      </w:r>
      <w:r>
        <w:rPr>
          <w:rStyle w:val="19"/>
          <w:color w:val="000000"/>
          <w:kern w:val="0"/>
          <w:sz w:val="24"/>
          <w:szCs w:val="24"/>
          <w:u w:color="000000"/>
          <w:lang w:val="en-US"/>
        </w:rPr>
        <w:t>=</w:t>
      </w:r>
      <w:r>
        <w:rPr>
          <w:rStyle w:val="19"/>
          <w:color w:val="000000"/>
          <w:kern w:val="0"/>
          <w:sz w:val="24"/>
          <w:szCs w:val="24"/>
          <w:u w:color="000000"/>
          <w:lang w:val="zh-TW" w:eastAsia="zh-TW"/>
        </w:rPr>
        <w:t>组件容量</w:t>
      </w:r>
      <w:r>
        <w:rPr>
          <w:rStyle w:val="19"/>
          <w:color w:val="000000"/>
          <w:kern w:val="0"/>
          <w:sz w:val="24"/>
          <w:szCs w:val="24"/>
          <w:u w:color="000000"/>
          <w:lang w:val="en-US"/>
        </w:rPr>
        <w:t>×</w:t>
      </w:r>
      <w:r>
        <w:rPr>
          <w:rStyle w:val="19"/>
          <w:color w:val="000000"/>
          <w:kern w:val="0"/>
          <w:sz w:val="24"/>
          <w:szCs w:val="24"/>
          <w:u w:color="000000"/>
          <w:lang w:val="zh-TW" w:eastAsia="zh-TW"/>
        </w:rPr>
        <w:t>倾斜面峰值日照时数</w:t>
      </w:r>
      <w:r>
        <w:rPr>
          <w:rStyle w:val="19"/>
          <w:color w:val="000000"/>
          <w:kern w:val="0"/>
          <w:sz w:val="24"/>
          <w:szCs w:val="24"/>
          <w:u w:color="000000"/>
          <w:lang w:val="en-US"/>
        </w:rPr>
        <w:t>×</w:t>
      </w:r>
      <w:r>
        <w:rPr>
          <w:rStyle w:val="19"/>
          <w:color w:val="000000"/>
          <w:kern w:val="0"/>
          <w:sz w:val="24"/>
          <w:szCs w:val="24"/>
          <w:u w:color="000000"/>
          <w:lang w:val="zh-TW" w:eastAsia="zh-TW"/>
        </w:rPr>
        <w:t>修正系数</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修正系数包括导线损耗、逆变器损耗、组件等损耗，按照当前整体装机效率</w:t>
      </w:r>
      <w:r>
        <w:rPr>
          <w:rStyle w:val="19"/>
          <w:color w:val="000000"/>
          <w:kern w:val="0"/>
          <w:sz w:val="24"/>
          <w:szCs w:val="24"/>
          <w:u w:color="000000"/>
          <w:lang w:val="en-US"/>
        </w:rPr>
        <w:t>80%</w:t>
      </w:r>
      <w:r>
        <w:rPr>
          <w:rStyle w:val="19"/>
          <w:color w:val="000000"/>
          <w:kern w:val="0"/>
          <w:sz w:val="24"/>
          <w:szCs w:val="24"/>
          <w:u w:color="000000"/>
          <w:lang w:val="zh-TW" w:eastAsia="zh-TW"/>
        </w:rPr>
        <w:t>进行折算。所以，修正系数取</w:t>
      </w:r>
      <w:r>
        <w:rPr>
          <w:rStyle w:val="19"/>
          <w:color w:val="000000"/>
          <w:kern w:val="0"/>
          <w:sz w:val="24"/>
          <w:szCs w:val="24"/>
          <w:u w:color="000000"/>
          <w:lang w:val="en-US"/>
        </w:rPr>
        <w:t>0.8</w:t>
      </w:r>
      <w:r>
        <w:rPr>
          <w:rStyle w:val="19"/>
          <w:color w:val="000000"/>
          <w:kern w:val="0"/>
          <w:sz w:val="24"/>
          <w:szCs w:val="24"/>
          <w:u w:color="000000"/>
          <w:lang w:val="zh-TW" w:eastAsia="zh-TW"/>
        </w:rPr>
        <w:t>。</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每格</w:t>
      </w:r>
      <w:r>
        <w:rPr>
          <w:rStyle w:val="19"/>
          <w:color w:val="000000"/>
          <w:kern w:val="0"/>
          <w:sz w:val="24"/>
          <w:szCs w:val="24"/>
          <w:u w:color="000000"/>
          <w:lang w:val="en-US"/>
        </w:rPr>
        <w:t>2500m</w:t>
      </w:r>
      <w:r>
        <w:rPr>
          <w:rStyle w:val="19"/>
          <w:color w:val="000000"/>
          <w:kern w:val="0"/>
          <w:sz w:val="24"/>
          <w:szCs w:val="24"/>
          <w:u w:color="000000"/>
          <w:vertAlign w:val="superscript"/>
          <w:lang w:val="en-US"/>
        </w:rPr>
        <w:t>2</w:t>
      </w:r>
      <w:r>
        <w:rPr>
          <w:rStyle w:val="19"/>
          <w:color w:val="000000"/>
          <w:kern w:val="0"/>
          <w:sz w:val="24"/>
          <w:szCs w:val="24"/>
          <w:u w:color="000000"/>
          <w:lang w:val="zh-TW" w:eastAsia="zh-TW"/>
        </w:rPr>
        <w:t>每天发电量</w:t>
      </w:r>
      <w:r>
        <w:rPr>
          <w:rStyle w:val="19"/>
          <w:color w:val="000000"/>
          <w:kern w:val="0"/>
          <w:sz w:val="24"/>
          <w:szCs w:val="24"/>
          <w:u w:color="000000"/>
          <w:lang w:val="en-US"/>
        </w:rPr>
        <w:t>=131.25KW×</w:t>
      </w:r>
      <w:r>
        <w:rPr>
          <w:rStyle w:val="19"/>
          <w:color w:val="000000"/>
          <w:kern w:val="0"/>
          <w:sz w:val="24"/>
          <w:szCs w:val="24"/>
          <w:u w:color="000000"/>
          <w:lang w:val="zh-TW" w:eastAsia="zh-TW"/>
        </w:rPr>
        <w:t>倾斜面峰值日照时数</w:t>
      </w:r>
      <w:r>
        <w:rPr>
          <w:rStyle w:val="19"/>
          <w:color w:val="000000"/>
          <w:kern w:val="0"/>
          <w:sz w:val="24"/>
          <w:szCs w:val="24"/>
          <w:u w:color="000000"/>
          <w:lang w:val="en-US"/>
        </w:rPr>
        <w:t>×0.8×</w:t>
      </w:r>
      <w:r>
        <w:rPr>
          <w:rStyle w:val="19"/>
          <w:color w:val="000000"/>
          <w:kern w:val="0"/>
          <w:sz w:val="24"/>
          <w:szCs w:val="24"/>
          <w:u w:color="000000"/>
          <w:lang w:val="zh-TW" w:eastAsia="zh-TW"/>
        </w:rPr>
        <w:t>位置系数（日照常数及位置修正，内置在软件内）</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en-US"/>
        </w:rPr>
        <w:t>3.4</w:t>
      </w:r>
      <w:r>
        <w:rPr>
          <w:rStyle w:val="19"/>
          <w:color w:val="000000"/>
          <w:kern w:val="0"/>
          <w:sz w:val="24"/>
          <w:szCs w:val="24"/>
          <w:u w:color="000000"/>
          <w:lang w:val="zh-TW" w:eastAsia="zh-TW"/>
        </w:rPr>
        <w:t>、光伏电站站址选择</w:t>
      </w:r>
    </w:p>
    <w:p>
      <w:pPr>
        <w:framePr w:w="0" w:wrap="auto" w:vAnchor="margin" w:hAnchor="text" w:yAlign="inline"/>
        <w:spacing w:line="360" w:lineRule="auto"/>
        <w:ind w:firstLine="480"/>
        <w:jc w:val="left"/>
        <w:rPr>
          <w:rStyle w:val="19"/>
          <w:kern w:val="0"/>
          <w:sz w:val="24"/>
          <w:szCs w:val="24"/>
        </w:rPr>
      </w:pPr>
      <w:r>
        <w:rPr>
          <w:rStyle w:val="19"/>
          <w:color w:val="000000"/>
          <w:kern w:val="0"/>
          <w:sz w:val="24"/>
          <w:szCs w:val="24"/>
          <w:u w:color="000000"/>
          <w:lang w:val="zh-TW" w:eastAsia="zh-TW"/>
        </w:rPr>
        <w:t>规划设计平台中，土地类型有如下</w:t>
      </w:r>
      <w:r>
        <w:rPr>
          <w:rStyle w:val="19"/>
          <w:color w:val="000000"/>
          <w:kern w:val="0"/>
          <w:sz w:val="24"/>
          <w:szCs w:val="24"/>
          <w:u w:color="000000"/>
          <w:lang w:val="en-US"/>
        </w:rPr>
        <w:t>6</w:t>
      </w:r>
      <w:r>
        <w:rPr>
          <w:rStyle w:val="19"/>
          <w:color w:val="000000"/>
          <w:kern w:val="0"/>
          <w:sz w:val="24"/>
          <w:szCs w:val="24"/>
          <w:u w:color="000000"/>
          <w:lang w:val="zh-TW" w:eastAsia="zh-TW"/>
        </w:rPr>
        <w:t>中，对应不同颜色如下图所示。</w:t>
      </w:r>
    </w:p>
    <w:p>
      <w:pPr>
        <w:framePr w:w="0" w:wrap="auto" w:vAnchor="margin" w:hAnchor="text" w:yAlign="inline"/>
        <w:spacing w:line="360" w:lineRule="auto"/>
        <w:jc w:val="center"/>
        <w:rPr>
          <w:rStyle w:val="19"/>
          <w:kern w:val="0"/>
          <w:sz w:val="24"/>
          <w:szCs w:val="24"/>
        </w:rPr>
      </w:pPr>
      <w:r>
        <w:rPr>
          <w:rStyle w:val="19"/>
          <w:kern w:val="0"/>
          <w:sz w:val="24"/>
          <w:szCs w:val="24"/>
        </w:rPr>
        <w:drawing>
          <wp:inline distT="0" distB="0" distL="0" distR="0">
            <wp:extent cx="4114800" cy="895350"/>
            <wp:effectExtent l="0" t="0" r="0" b="0"/>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1"/>
                    <a:stretch>
                      <a:fillRect/>
                    </a:stretch>
                  </pic:blipFill>
                  <pic:spPr>
                    <a:xfrm>
                      <a:off x="0" y="0"/>
                      <a:ext cx="4114800" cy="895350"/>
                    </a:xfrm>
                    <a:prstGeom prst="rect">
                      <a:avLst/>
                    </a:prstGeom>
                    <a:ln w="12700" cap="flat">
                      <a:noFill/>
                      <a:miter lim="400000"/>
                      <a:headEnd/>
                      <a:tailEnd/>
                    </a:ln>
                    <a:effectLst/>
                  </pic:spPr>
                </pic:pic>
              </a:graphicData>
            </a:graphic>
          </wp:inline>
        </w:drawing>
      </w:r>
    </w:p>
    <w:p>
      <w:pPr>
        <w:framePr w:w="0" w:wrap="auto" w:vAnchor="margin" w:hAnchor="text" w:yAlign="inline"/>
        <w:spacing w:line="360" w:lineRule="auto"/>
        <w:rPr>
          <w:rStyle w:val="19"/>
          <w:kern w:val="0"/>
          <w:sz w:val="24"/>
          <w:szCs w:val="24"/>
        </w:rPr>
      </w:pPr>
    </w:p>
    <w:p>
      <w:pPr>
        <w:framePr w:w="0" w:wrap="auto" w:vAnchor="margin" w:hAnchor="text" w:yAlign="inline"/>
        <w:spacing w:line="360" w:lineRule="auto"/>
        <w:ind w:firstLine="480"/>
        <w:jc w:val="left"/>
        <w:rPr>
          <w:rStyle w:val="19"/>
          <w:kern w:val="0"/>
          <w:sz w:val="24"/>
          <w:szCs w:val="24"/>
          <w:lang w:val="zh-TW" w:eastAsia="zh-TW"/>
        </w:rPr>
      </w:pPr>
      <w:r>
        <w:rPr>
          <w:rStyle w:val="19"/>
          <w:color w:val="000000"/>
          <w:kern w:val="0"/>
          <w:sz w:val="24"/>
          <w:szCs w:val="24"/>
          <w:u w:color="000000"/>
          <w:lang w:val="zh-TW" w:eastAsia="zh-TW"/>
        </w:rPr>
        <w:t>不同土地类型用途如下表所示。</w:t>
      </w:r>
    </w:p>
    <w:tbl>
      <w:tblPr>
        <w:tblStyle w:val="12"/>
        <w:tblW w:w="9610" w:type="dxa"/>
        <w:tblInd w:w="32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
      <w:tblGrid>
        <w:gridCol w:w="725"/>
        <w:gridCol w:w="2189"/>
        <w:gridCol w:w="669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8" w:type="dxa"/>
            <w:bottom w:w="0" w:type="dxa"/>
            <w:right w:w="108" w:type="dxa"/>
          </w:tblCellMar>
        </w:tblPrEx>
        <w:trPr>
          <w:trHeight w:val="23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zh-TW" w:eastAsia="zh-TW"/>
              </w:rPr>
              <w:t>序号</w:t>
            </w:r>
          </w:p>
        </w:tc>
        <w:tc>
          <w:tcPr>
            <w:tcW w:w="21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zh-TW" w:eastAsia="zh-TW"/>
              </w:rPr>
              <w:t>土地类型</w:t>
            </w:r>
          </w:p>
        </w:tc>
        <w:tc>
          <w:tcPr>
            <w:tcW w:w="66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tabs>
                <w:tab w:val="left" w:pos="595"/>
              </w:tabs>
              <w:spacing w:line="360" w:lineRule="auto"/>
              <w:jc w:val="center"/>
            </w:pPr>
            <w:r>
              <w:rPr>
                <w:rStyle w:val="19"/>
                <w:kern w:val="0"/>
                <w:sz w:val="21"/>
                <w:szCs w:val="21"/>
                <w:lang w:val="zh-TW" w:eastAsia="zh-TW"/>
              </w:rPr>
              <w:t>用途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u w:color="FF0000"/>
                <w:lang w:val="en-US"/>
              </w:rPr>
              <w:t>1</w:t>
            </w:r>
          </w:p>
        </w:tc>
        <w:tc>
          <w:tcPr>
            <w:tcW w:w="21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u w:color="FF0000"/>
                <w:lang w:val="zh-TW" w:eastAsia="zh-TW"/>
              </w:rPr>
              <w:t>工业用地</w:t>
            </w:r>
          </w:p>
        </w:tc>
        <w:tc>
          <w:tcPr>
            <w:tcW w:w="66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kern w:val="0"/>
                <w:sz w:val="21"/>
                <w:szCs w:val="21"/>
                <w:u w:color="FF0000"/>
                <w:lang w:val="zh-TW" w:eastAsia="zh-TW"/>
              </w:rPr>
              <w:t>生物质、地热、储能站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en-US"/>
              </w:rPr>
              <w:t>2</w:t>
            </w:r>
          </w:p>
        </w:tc>
        <w:tc>
          <w:tcPr>
            <w:tcW w:w="21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zh-TW" w:eastAsia="zh-TW"/>
              </w:rPr>
              <w:t>公共事业用地</w:t>
            </w:r>
          </w:p>
        </w:tc>
        <w:tc>
          <w:tcPr>
            <w:tcW w:w="66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kern w:val="0"/>
                <w:sz w:val="21"/>
                <w:szCs w:val="21"/>
                <w:lang w:val="zh-TW" w:eastAsia="zh-TW"/>
              </w:rPr>
              <w:t>事业用地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21"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en-US"/>
              </w:rPr>
              <w:t>3</w:t>
            </w:r>
          </w:p>
        </w:tc>
        <w:tc>
          <w:tcPr>
            <w:tcW w:w="21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zh-TW" w:eastAsia="zh-TW"/>
              </w:rPr>
              <w:t>荒地</w:t>
            </w:r>
          </w:p>
        </w:tc>
        <w:tc>
          <w:tcPr>
            <w:tcW w:w="66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kern w:val="0"/>
                <w:sz w:val="21"/>
                <w:szCs w:val="21"/>
                <w:u w:color="FF0000"/>
                <w:lang w:val="zh-TW" w:eastAsia="zh-TW"/>
              </w:rPr>
              <w:t>太阳能发电（光伏发电）、风能发电、生物质、地热、储能站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en-US"/>
              </w:rPr>
              <w:t>4</w:t>
            </w:r>
          </w:p>
        </w:tc>
        <w:tc>
          <w:tcPr>
            <w:tcW w:w="21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zh-TW" w:eastAsia="zh-TW"/>
              </w:rPr>
              <w:t>农业用地</w:t>
            </w:r>
          </w:p>
        </w:tc>
        <w:tc>
          <w:tcPr>
            <w:tcW w:w="66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kern w:val="0"/>
                <w:sz w:val="21"/>
                <w:szCs w:val="21"/>
                <w:u w:color="FF0000"/>
                <w:lang w:val="zh-TW" w:eastAsia="zh-TW"/>
              </w:rPr>
              <w:t>光伏电站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en-US"/>
              </w:rPr>
              <w:t>5</w:t>
            </w:r>
          </w:p>
        </w:tc>
        <w:tc>
          <w:tcPr>
            <w:tcW w:w="21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zh-TW" w:eastAsia="zh-TW"/>
              </w:rPr>
              <w:t>商业用地</w:t>
            </w:r>
          </w:p>
        </w:tc>
        <w:tc>
          <w:tcPr>
            <w:tcW w:w="66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kern w:val="0"/>
                <w:sz w:val="21"/>
                <w:szCs w:val="21"/>
                <w:lang w:val="zh-TW" w:eastAsia="zh-TW"/>
              </w:rPr>
              <w:t>商业用地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en-US"/>
              </w:rPr>
              <w:t>6</w:t>
            </w:r>
          </w:p>
        </w:tc>
        <w:tc>
          <w:tcPr>
            <w:tcW w:w="21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zh-TW" w:eastAsia="zh-TW"/>
              </w:rPr>
              <w:t>住宅用地</w:t>
            </w:r>
          </w:p>
        </w:tc>
        <w:tc>
          <w:tcPr>
            <w:tcW w:w="66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kern w:val="0"/>
                <w:sz w:val="21"/>
                <w:szCs w:val="21"/>
                <w:lang w:val="zh-TW" w:eastAsia="zh-TW"/>
              </w:rPr>
              <w:t>住宅用地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en-US"/>
              </w:rPr>
              <w:t>7</w:t>
            </w:r>
          </w:p>
        </w:tc>
        <w:tc>
          <w:tcPr>
            <w:tcW w:w="21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jc w:val="center"/>
            </w:pPr>
            <w:r>
              <w:rPr>
                <w:rStyle w:val="19"/>
                <w:kern w:val="0"/>
                <w:sz w:val="21"/>
                <w:szCs w:val="21"/>
                <w:lang w:val="zh-TW" w:eastAsia="zh-TW"/>
              </w:rPr>
              <w:t>其他</w:t>
            </w:r>
          </w:p>
        </w:tc>
        <w:tc>
          <w:tcPr>
            <w:tcW w:w="66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0" w:wrap="auto" w:vAnchor="margin" w:hAnchor="text" w:yAlign="inline"/>
              <w:spacing w:line="360" w:lineRule="auto"/>
            </w:pPr>
            <w:r>
              <w:rPr>
                <w:rStyle w:val="19"/>
                <w:kern w:val="0"/>
                <w:sz w:val="21"/>
                <w:szCs w:val="21"/>
                <w:lang w:val="zh-TW" w:eastAsia="zh-TW"/>
              </w:rPr>
              <w:t>未标识的土地类型，可以用于所有用途</w:t>
            </w:r>
          </w:p>
        </w:tc>
      </w:tr>
    </w:tbl>
    <w:p>
      <w:pPr>
        <w:framePr w:w="0" w:wrap="auto" w:vAnchor="margin" w:hAnchor="text" w:yAlign="inline"/>
        <w:ind w:left="216" w:hanging="216"/>
        <w:jc w:val="left"/>
        <w:rPr>
          <w:rStyle w:val="19"/>
          <w:kern w:val="0"/>
          <w:sz w:val="24"/>
          <w:szCs w:val="24"/>
          <w:lang w:val="zh-TW" w:eastAsia="zh-TW"/>
        </w:rPr>
      </w:pPr>
    </w:p>
    <w:p>
      <w:pPr>
        <w:framePr w:w="0" w:wrap="auto" w:vAnchor="margin" w:hAnchor="text" w:yAlign="inline"/>
        <w:ind w:left="108" w:hanging="108"/>
        <w:jc w:val="left"/>
        <w:rPr>
          <w:rStyle w:val="19"/>
          <w:kern w:val="0"/>
          <w:sz w:val="24"/>
          <w:szCs w:val="24"/>
          <w:lang w:val="zh-TW" w:eastAsia="zh-TW"/>
        </w:rPr>
      </w:pPr>
    </w:p>
    <w:p>
      <w:pPr>
        <w:framePr w:w="0" w:wrap="auto" w:vAnchor="margin" w:hAnchor="text" w:yAlign="inline"/>
        <w:rPr>
          <w:rStyle w:val="19"/>
          <w:kern w:val="0"/>
          <w:sz w:val="24"/>
          <w:szCs w:val="24"/>
        </w:rPr>
      </w:pP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各用途类型符号如下图所示：</w:t>
      </w:r>
    </w:p>
    <w:p>
      <w:pPr>
        <w:framePr w:w="0" w:wrap="auto" w:vAnchor="margin" w:hAnchor="text" w:yAlign="inline"/>
        <w:spacing w:line="360" w:lineRule="auto"/>
        <w:jc w:val="center"/>
        <w:rPr>
          <w:rStyle w:val="19"/>
          <w:kern w:val="0"/>
          <w:sz w:val="24"/>
          <w:szCs w:val="24"/>
        </w:rPr>
      </w:pPr>
      <w:r>
        <w:rPr>
          <w:rStyle w:val="19"/>
          <w:kern w:val="0"/>
          <w:sz w:val="24"/>
          <w:szCs w:val="24"/>
        </w:rPr>
        <w:drawing>
          <wp:inline distT="0" distB="0" distL="0" distR="0">
            <wp:extent cx="3171825" cy="685800"/>
            <wp:effectExtent l="0" t="0" r="0" b="0"/>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2"/>
                    <a:stretch>
                      <a:fillRect/>
                    </a:stretch>
                  </pic:blipFill>
                  <pic:spPr>
                    <a:xfrm>
                      <a:off x="0" y="0"/>
                      <a:ext cx="3171825" cy="685800"/>
                    </a:xfrm>
                    <a:prstGeom prst="rect">
                      <a:avLst/>
                    </a:prstGeom>
                    <a:ln w="12700" cap="flat">
                      <a:noFill/>
                      <a:miter lim="400000"/>
                      <a:headEnd/>
                      <a:tailEnd/>
                    </a:ln>
                    <a:effectLst/>
                  </pic:spPr>
                </pic:pic>
              </a:graphicData>
            </a:graphic>
          </wp:inline>
        </w:drawing>
      </w: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区域储能系统规划与设计</w:t>
      </w: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根据下面叙述设计方法，设置设置储能系统容量________，在规划平台中录入，并在规划平台中合理布置储能系统（1格）。</w:t>
      </w: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设计方法：</w:t>
      </w:r>
    </w:p>
    <w:p>
      <w:pPr>
        <w:framePr w:w="0" w:wrap="auto" w:vAnchor="margin" w:hAnchor="text" w:yAlign="inline"/>
        <w:spacing w:line="360" w:lineRule="auto"/>
        <w:ind w:firstLine="480"/>
        <w:jc w:val="left"/>
        <w:rPr>
          <w:rStyle w:val="19"/>
          <w:color w:val="000000"/>
          <w:kern w:val="0"/>
          <w:sz w:val="24"/>
          <w:szCs w:val="24"/>
          <w:u w:color="000000"/>
        </w:rPr>
      </w:pPr>
      <w:r>
        <w:rPr>
          <w:rStyle w:val="19"/>
          <w:color w:val="000000"/>
          <w:kern w:val="0"/>
          <w:sz w:val="24"/>
          <w:szCs w:val="24"/>
          <w:u w:color="000000"/>
          <w:lang w:val="en-US"/>
        </w:rPr>
        <w:t>3.4.</w:t>
      </w:r>
      <w:r>
        <w:rPr>
          <w:rStyle w:val="19"/>
          <w:color w:val="000000"/>
          <w:kern w:val="0"/>
          <w:sz w:val="24"/>
          <w:szCs w:val="24"/>
          <w:u w:color="000000"/>
          <w:lang w:val="zh-TW" w:eastAsia="zh-TW"/>
        </w:rPr>
        <w:t>1、储能系统选址</w:t>
      </w: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储能系统选址见土地类型表。</w:t>
      </w:r>
    </w:p>
    <w:p>
      <w:pPr>
        <w:framePr w:w="0" w:wrap="auto" w:vAnchor="margin" w:hAnchor="text" w:yAlign="inline"/>
        <w:spacing w:line="360" w:lineRule="auto"/>
        <w:ind w:firstLine="480"/>
        <w:jc w:val="left"/>
        <w:rPr>
          <w:rStyle w:val="19"/>
          <w:color w:val="000000"/>
          <w:kern w:val="0"/>
          <w:sz w:val="24"/>
          <w:szCs w:val="24"/>
          <w:u w:color="000000"/>
        </w:rPr>
      </w:pPr>
      <w:r>
        <w:rPr>
          <w:rStyle w:val="19"/>
          <w:color w:val="000000"/>
          <w:kern w:val="0"/>
          <w:sz w:val="24"/>
          <w:szCs w:val="24"/>
          <w:u w:color="000000"/>
          <w:lang w:val="en-US"/>
        </w:rPr>
        <w:t>3.4.</w:t>
      </w:r>
      <w:r>
        <w:rPr>
          <w:rStyle w:val="19"/>
          <w:color w:val="000000"/>
          <w:kern w:val="0"/>
          <w:sz w:val="24"/>
          <w:szCs w:val="24"/>
          <w:u w:color="000000"/>
          <w:lang w:val="zh-TW" w:eastAsia="zh-TW"/>
        </w:rPr>
        <w:t>2、储能系统容量设计方法</w:t>
      </w: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由于光伏发电受气象参数限制，微电网可能出现连续天数的缺电现象。储能系统是保证微电网系统稳定运行，在光伏发电不能正常运行的情况下，起到备用和过渡作用。在微电网中，储能系统容量大小受最大连续缺电时间和负荷的影响。</w:t>
      </w:r>
    </w:p>
    <w:p>
      <w:pPr>
        <w:framePr w:w="0" w:wrap="auto" w:vAnchor="margin" w:hAnchor="text" w:yAlign="inline"/>
        <w:spacing w:line="360" w:lineRule="auto"/>
        <w:ind w:firstLine="480"/>
        <w:jc w:val="left"/>
        <w:rPr>
          <w:rStyle w:val="19"/>
          <w:color w:val="000000"/>
          <w:kern w:val="0"/>
          <w:sz w:val="24"/>
          <w:szCs w:val="24"/>
          <w:u w:color="000000"/>
        </w:rPr>
      </w:pPr>
      <w:r>
        <w:rPr>
          <w:rStyle w:val="19"/>
          <w:color w:val="000000"/>
          <w:kern w:val="0"/>
          <w:sz w:val="24"/>
          <w:szCs w:val="24"/>
          <w:u w:color="000000"/>
          <w:lang w:val="en-US"/>
        </w:rPr>
        <w:t>3.4.</w:t>
      </w:r>
      <w:r>
        <w:rPr>
          <w:rStyle w:val="19"/>
          <w:color w:val="000000"/>
          <w:kern w:val="0"/>
          <w:sz w:val="24"/>
          <w:szCs w:val="24"/>
          <w:u w:color="000000"/>
          <w:lang w:val="zh-TW" w:eastAsia="zh-TW"/>
        </w:rPr>
        <w:t>3、最大连续缺电时间</w:t>
      </w: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根据以往数据统计，该区域最大连续缺电时间天数D为7天。则，该储能系统容量C=D×P。</w:t>
      </w: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储能容量设计，可采用多种储能方式（如飞轮储能，水势能储能，电池储能等），用户设计储能时只需根据项目设置储能的容量大小即可，无需考虑效率转换问题和存储方式。储能设置后，初始值为50%的能量存储。</w:t>
      </w:r>
    </w:p>
    <w:p>
      <w:pPr>
        <w:framePr w:w="0" w:wrap="auto" w:vAnchor="margin" w:hAnchor="text" w:yAlign="inline"/>
        <w:spacing w:line="360" w:lineRule="auto"/>
        <w:ind w:firstLine="480"/>
        <w:jc w:val="left"/>
        <w:rPr>
          <w:rStyle w:val="19"/>
          <w:color w:val="000000"/>
          <w:kern w:val="0"/>
          <w:sz w:val="24"/>
          <w:szCs w:val="24"/>
          <w:u w:color="000000"/>
          <w:lang w:val="zh-TW" w:eastAsia="zh-TW"/>
        </w:rPr>
      </w:pPr>
      <w:r>
        <w:rPr>
          <w:rStyle w:val="19"/>
          <w:color w:val="000000"/>
          <w:kern w:val="0"/>
          <w:sz w:val="24"/>
          <w:szCs w:val="24"/>
          <w:u w:color="000000"/>
          <w:lang w:val="zh-TW" w:eastAsia="zh-TW"/>
        </w:rPr>
        <w:t>规划平台使用：</w:t>
      </w:r>
    </w:p>
    <w:p>
      <w:pPr>
        <w:framePr w:w="0" w:wrap="auto" w:vAnchor="margin" w:hAnchor="text" w:yAlign="inline"/>
        <w:spacing w:line="360" w:lineRule="auto"/>
        <w:ind w:firstLine="480"/>
        <w:jc w:val="left"/>
        <w:rPr>
          <w:rStyle w:val="19"/>
          <w:u w:color="000000"/>
          <w:lang w:val="zh-TW" w:eastAsia="zh-TW"/>
        </w:rPr>
      </w:pPr>
      <w:r>
        <w:rPr>
          <w:rStyle w:val="19"/>
          <w:color w:val="000000"/>
          <w:kern w:val="0"/>
          <w:sz w:val="24"/>
          <w:szCs w:val="24"/>
          <w:u w:color="000000"/>
          <w:lang w:val="zh-TW" w:eastAsia="zh-TW"/>
        </w:rPr>
        <w:t>使用能源互联网仿真平台的仿真系统进行方案设计规划时，使用步骤为：用户登录→方案设计→选择地图（“东澳岛地形图”）→模型列表（“竞赛”）→方案列表→创建方案（“方案名称为工位号”）→设计详情→气候查询</w:t>
      </w:r>
      <w:r>
        <w:rPr>
          <w:rStyle w:val="19"/>
          <w:u w:color="000000"/>
          <w:lang w:val="zh-TW" w:eastAsia="zh-TW"/>
        </w:rPr>
        <w:t>。</w:t>
      </w:r>
      <w:bookmarkEnd w:id="114"/>
    </w:p>
    <w:p>
      <w:pPr>
        <w:pStyle w:val="3"/>
        <w:framePr w:w="0" w:wrap="auto" w:vAnchor="margin" w:hAnchor="text" w:yAlign="inline"/>
        <w:ind w:firstLine="148"/>
      </w:pPr>
      <w:r>
        <w:rPr>
          <w:rStyle w:val="19"/>
          <w:rFonts w:ascii="仿宋" w:hAnsi="仿宋" w:eastAsia="仿宋" w:cs="仿宋"/>
          <w:u w:color="000000"/>
          <w:lang w:val="zh-TW" w:eastAsia="zh-TW"/>
        </w:rPr>
        <w:br w:type="page"/>
      </w:r>
    </w:p>
    <w:p>
      <w:pPr>
        <w:pStyle w:val="3"/>
        <w:framePr w:w="0" w:wrap="auto" w:vAnchor="margin" w:hAnchor="text" w:yAlign="inline"/>
        <w:ind w:firstLine="148"/>
        <w:rPr>
          <w:rStyle w:val="19"/>
          <w:rFonts w:ascii="仿宋" w:hAnsi="仿宋" w:eastAsia="仿宋" w:cs="仿宋"/>
        </w:rPr>
      </w:pPr>
      <w:bookmarkStart w:id="115" w:name="_Toc51"/>
      <w:bookmarkStart w:id="116" w:name="_Toc3122"/>
      <w:r>
        <w:rPr>
          <w:rStyle w:val="22"/>
          <w:rFonts w:ascii="仿宋" w:hAnsi="仿宋" w:eastAsia="仿宋" w:cs="仿宋"/>
          <w:lang w:val="en-US"/>
        </w:rPr>
        <w:drawing>
          <wp:anchor distT="57150" distB="57150" distL="57150" distR="57150" simplePos="0" relativeHeight="251659264" behindDoc="0" locked="0" layoutInCell="1" allowOverlap="1">
            <wp:simplePos x="0" y="0"/>
            <wp:positionH relativeFrom="column">
              <wp:posOffset>73660</wp:posOffset>
            </wp:positionH>
            <wp:positionV relativeFrom="line">
              <wp:posOffset>990600</wp:posOffset>
            </wp:positionV>
            <wp:extent cx="6102985" cy="8630285"/>
            <wp:effectExtent l="0" t="0" r="0" b="0"/>
            <wp:wrapSquare wrapText="bothSides"/>
            <wp:docPr id="1073741830" name="officeArt object" descr="互联网+智慧能源公文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互联网+智慧能源公文_页面_01"/>
                    <pic:cNvPicPr>
                      <a:picLocks noChangeAspect="1"/>
                    </pic:cNvPicPr>
                  </pic:nvPicPr>
                  <pic:blipFill>
                    <a:blip r:embed="rId13"/>
                    <a:stretch>
                      <a:fillRect/>
                    </a:stretch>
                  </pic:blipFill>
                  <pic:spPr>
                    <a:xfrm>
                      <a:off x="0" y="0"/>
                      <a:ext cx="6102985" cy="8630285"/>
                    </a:xfrm>
                    <a:prstGeom prst="rect">
                      <a:avLst/>
                    </a:prstGeom>
                    <a:ln w="12700" cap="flat">
                      <a:noFill/>
                      <a:miter lim="400000"/>
                      <a:headEnd/>
                      <a:tailEnd/>
                    </a:ln>
                    <a:effectLst/>
                  </pic:spPr>
                </pic:pic>
              </a:graphicData>
            </a:graphic>
          </wp:anchor>
        </w:drawing>
      </w:r>
      <w:r>
        <w:rPr>
          <w:rStyle w:val="19"/>
          <w:rFonts w:ascii="仿宋" w:hAnsi="仿宋" w:eastAsia="仿宋" w:cs="仿宋"/>
          <w:lang w:val="zh-TW" w:eastAsia="zh-TW"/>
        </w:rPr>
        <w:t>附件</w:t>
      </w:r>
      <w:r>
        <w:rPr>
          <w:rStyle w:val="19"/>
          <w:rFonts w:ascii="仿宋" w:hAnsi="仿宋" w:eastAsia="仿宋" w:cs="仿宋"/>
          <w:lang w:val="en-US"/>
        </w:rPr>
        <w:t>2</w:t>
      </w:r>
      <w:r>
        <w:rPr>
          <w:rStyle w:val="19"/>
          <w:rFonts w:ascii="仿宋" w:hAnsi="仿宋" w:eastAsia="仿宋" w:cs="仿宋"/>
          <w:lang w:val="zh-TW" w:eastAsia="zh-TW"/>
        </w:rPr>
        <w:t>：关于推进</w:t>
      </w:r>
      <w:r>
        <w:rPr>
          <w:rStyle w:val="19"/>
          <w:rFonts w:ascii="仿宋" w:hAnsi="仿宋" w:eastAsia="仿宋" w:cs="仿宋"/>
          <w:lang w:val="en-US"/>
        </w:rPr>
        <w:t>“</w:t>
      </w:r>
      <w:r>
        <w:rPr>
          <w:rStyle w:val="19"/>
          <w:rFonts w:ascii="仿宋" w:hAnsi="仿宋" w:eastAsia="仿宋" w:cs="仿宋"/>
          <w:lang w:val="zh-TW" w:eastAsia="zh-TW"/>
        </w:rPr>
        <w:t>互联网</w:t>
      </w:r>
      <w:r>
        <w:rPr>
          <w:rStyle w:val="19"/>
          <w:rFonts w:ascii="仿宋" w:hAnsi="仿宋" w:eastAsia="仿宋" w:cs="仿宋"/>
          <w:lang w:val="en-US"/>
        </w:rPr>
        <w:t>+</w:t>
      </w:r>
      <w:r>
        <w:rPr>
          <w:rStyle w:val="19"/>
          <w:rFonts w:ascii="仿宋" w:hAnsi="仿宋" w:eastAsia="仿宋" w:cs="仿宋"/>
          <w:lang w:val="zh-TW" w:eastAsia="zh-TW"/>
        </w:rPr>
        <w:t>智慧能源</w:t>
      </w:r>
      <w:r>
        <w:rPr>
          <w:rStyle w:val="19"/>
          <w:rFonts w:ascii="仿宋" w:hAnsi="仿宋" w:eastAsia="仿宋" w:cs="仿宋"/>
          <w:lang w:val="en-US"/>
        </w:rPr>
        <w:t>”</w:t>
      </w:r>
      <w:r>
        <w:rPr>
          <w:rStyle w:val="19"/>
          <w:rFonts w:ascii="仿宋" w:hAnsi="仿宋" w:eastAsia="仿宋" w:cs="仿宋"/>
          <w:lang w:val="zh-TW" w:eastAsia="zh-TW"/>
        </w:rPr>
        <w:t>发展的指导意见</w:t>
      </w:r>
      <w:bookmarkEnd w:id="115"/>
      <w:bookmarkEnd w:id="116"/>
    </w:p>
    <w:p>
      <w:pPr>
        <w:framePr w:w="0" w:wrap="auto" w:vAnchor="margin" w:hAnchor="text" w:yAlign="inline"/>
      </w:pP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tab/>
      </w:r>
      <w:r>
        <w:rPr>
          <w:rStyle w:val="19"/>
          <w:rFonts w:ascii="仿宋" w:hAnsi="仿宋" w:eastAsia="仿宋" w:cs="仿宋"/>
        </w:rPr>
        <w:drawing>
          <wp:inline distT="0" distB="0" distL="0" distR="0">
            <wp:extent cx="6102350" cy="8624570"/>
            <wp:effectExtent l="0" t="0" r="0" b="0"/>
            <wp:docPr id="1073741831" name="officeArt object" descr="互联网+智慧能源公文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互联网+智慧能源公文_页面_02"/>
                    <pic:cNvPicPr>
                      <a:picLocks noChangeAspect="1"/>
                    </pic:cNvPicPr>
                  </pic:nvPicPr>
                  <pic:blipFill>
                    <a:blip r:embed="rId14"/>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32" name="officeArt object" descr="互联网+智慧能源公文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互联网+智慧能源公文_页面_03"/>
                    <pic:cNvPicPr>
                      <a:picLocks noChangeAspect="1"/>
                    </pic:cNvPicPr>
                  </pic:nvPicPr>
                  <pic:blipFill>
                    <a:blip r:embed="rId15"/>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33" name="officeArt object" descr="互联网+智慧能源公文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互联网+智慧能源公文_页面_04"/>
                    <pic:cNvPicPr>
                      <a:picLocks noChangeAspect="1"/>
                    </pic:cNvPicPr>
                  </pic:nvPicPr>
                  <pic:blipFill>
                    <a:blip r:embed="rId16"/>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34" name="officeArt object" descr="互联网+智慧能源公文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互联网+智慧能源公文_页面_05"/>
                    <pic:cNvPicPr>
                      <a:picLocks noChangeAspect="1"/>
                    </pic:cNvPicPr>
                  </pic:nvPicPr>
                  <pic:blipFill>
                    <a:blip r:embed="rId17"/>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35" name="officeArt object" descr="互联网+智慧能源公文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互联网+智慧能源公文_页面_06"/>
                    <pic:cNvPicPr>
                      <a:picLocks noChangeAspect="1"/>
                    </pic:cNvPicPr>
                  </pic:nvPicPr>
                  <pic:blipFill>
                    <a:blip r:embed="rId18"/>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36" name="officeArt object" descr="互联网+智慧能源公文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互联网+智慧能源公文_页面_07"/>
                    <pic:cNvPicPr>
                      <a:picLocks noChangeAspect="1"/>
                    </pic:cNvPicPr>
                  </pic:nvPicPr>
                  <pic:blipFill>
                    <a:blip r:embed="rId19"/>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37" name="officeArt object" descr="互联网+智慧能源公文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互联网+智慧能源公文_页面_08"/>
                    <pic:cNvPicPr>
                      <a:picLocks noChangeAspect="1"/>
                    </pic:cNvPicPr>
                  </pic:nvPicPr>
                  <pic:blipFill>
                    <a:blip r:embed="rId20"/>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38" name="officeArt object" descr="互联网+智慧能源公文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互联网+智慧能源公文_页面_09"/>
                    <pic:cNvPicPr>
                      <a:picLocks noChangeAspect="1"/>
                    </pic:cNvPicPr>
                  </pic:nvPicPr>
                  <pic:blipFill>
                    <a:blip r:embed="rId21"/>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39" name="officeArt object" descr="互联网+智慧能源公文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互联网+智慧能源公文_页面_10"/>
                    <pic:cNvPicPr>
                      <a:picLocks noChangeAspect="1"/>
                    </pic:cNvPicPr>
                  </pic:nvPicPr>
                  <pic:blipFill>
                    <a:blip r:embed="rId22"/>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40" name="officeArt object" descr="互联网+智慧能源公文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互联网+智慧能源公文_页面_11"/>
                    <pic:cNvPicPr>
                      <a:picLocks noChangeAspect="1"/>
                    </pic:cNvPicPr>
                  </pic:nvPicPr>
                  <pic:blipFill>
                    <a:blip r:embed="rId23"/>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41" name="officeArt object" descr="互联网+智慧能源公文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互联网+智慧能源公文_页面_12"/>
                    <pic:cNvPicPr>
                      <a:picLocks noChangeAspect="1"/>
                    </pic:cNvPicPr>
                  </pic:nvPicPr>
                  <pic:blipFill>
                    <a:blip r:embed="rId24"/>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42" name="officeArt object" descr="互联网+智慧能源公文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互联网+智慧能源公文_页面_13"/>
                    <pic:cNvPicPr>
                      <a:picLocks noChangeAspect="1"/>
                    </pic:cNvPicPr>
                  </pic:nvPicPr>
                  <pic:blipFill>
                    <a:blip r:embed="rId25"/>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43" name="officeArt object" descr="互联网+智慧能源公文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officeArt object" descr="互联网+智慧能源公文_页面_14"/>
                    <pic:cNvPicPr>
                      <a:picLocks noChangeAspect="1"/>
                    </pic:cNvPicPr>
                  </pic:nvPicPr>
                  <pic:blipFill>
                    <a:blip r:embed="rId26"/>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rPr>
          <w:rStyle w:val="19"/>
          <w:rFonts w:ascii="仿宋" w:hAnsi="仿宋" w:eastAsia="仿宋" w:cs="仿宋"/>
        </w:rPr>
      </w:pPr>
      <w:r>
        <w:rPr>
          <w:rStyle w:val="19"/>
          <w:rFonts w:ascii="仿宋" w:hAnsi="仿宋" w:eastAsia="仿宋" w:cs="仿宋"/>
        </w:rPr>
        <w:drawing>
          <wp:inline distT="0" distB="0" distL="0" distR="0">
            <wp:extent cx="6102350" cy="8624570"/>
            <wp:effectExtent l="0" t="0" r="0" b="0"/>
            <wp:docPr id="1073741844" name="officeArt object" descr="互联网+智慧能源公文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officeArt object" descr="互联网+智慧能源公文_页面_15"/>
                    <pic:cNvPicPr>
                      <a:picLocks noChangeAspect="1"/>
                    </pic:cNvPicPr>
                  </pic:nvPicPr>
                  <pic:blipFill>
                    <a:blip r:embed="rId27"/>
                    <a:stretch>
                      <a:fillRect/>
                    </a:stretch>
                  </pic:blipFill>
                  <pic:spPr>
                    <a:xfrm>
                      <a:off x="0" y="0"/>
                      <a:ext cx="6102350" cy="8625163"/>
                    </a:xfrm>
                    <a:prstGeom prst="rect">
                      <a:avLst/>
                    </a:prstGeom>
                    <a:ln w="12700" cap="flat">
                      <a:noFill/>
                      <a:miter lim="400000"/>
                      <a:headEnd/>
                      <a:tailEnd/>
                    </a:ln>
                    <a:effectLst/>
                  </pic:spPr>
                </pic:pic>
              </a:graphicData>
            </a:graphic>
          </wp:inline>
        </w:drawing>
      </w:r>
    </w:p>
    <w:p>
      <w:pPr>
        <w:framePr w:w="0" w:wrap="auto" w:vAnchor="margin" w:hAnchor="text" w:yAlign="inline"/>
        <w:widowControl/>
        <w:tabs>
          <w:tab w:val="left" w:pos="820"/>
        </w:tabs>
        <w:jc w:val="left"/>
      </w:pPr>
      <w:r>
        <w:rPr>
          <w:rStyle w:val="19"/>
          <w:rFonts w:ascii="仿宋" w:hAnsi="仿宋" w:eastAsia="仿宋" w:cs="仿宋"/>
        </w:rPr>
        <w:drawing>
          <wp:inline distT="0" distB="0" distL="0" distR="0">
            <wp:extent cx="6102350" cy="8624570"/>
            <wp:effectExtent l="0" t="0" r="0" b="0"/>
            <wp:docPr id="1073741845" name="officeArt object" descr="互联网+智慧能源公文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officeArt object" descr="互联网+智慧能源公文_页面_16"/>
                    <pic:cNvPicPr>
                      <a:picLocks noChangeAspect="1"/>
                    </pic:cNvPicPr>
                  </pic:nvPicPr>
                  <pic:blipFill>
                    <a:blip r:embed="rId28"/>
                    <a:stretch>
                      <a:fillRect/>
                    </a:stretch>
                  </pic:blipFill>
                  <pic:spPr>
                    <a:xfrm>
                      <a:off x="0" y="0"/>
                      <a:ext cx="6102350" cy="8625163"/>
                    </a:xfrm>
                    <a:prstGeom prst="rect">
                      <a:avLst/>
                    </a:prstGeom>
                    <a:ln w="12700" cap="flat">
                      <a:noFill/>
                      <a:miter lim="400000"/>
                      <a:headEnd/>
                      <a:tailEnd/>
                    </a:ln>
                    <a:effectLst/>
                  </pic:spPr>
                </pic:pic>
              </a:graphicData>
            </a:graphic>
          </wp:inline>
        </w:drawing>
      </w:r>
    </w:p>
    <w:sectPr>
      <w:headerReference r:id="rId4" w:type="first"/>
      <w:footerReference r:id="rId6" w:type="first"/>
      <w:headerReference r:id="rId3" w:type="default"/>
      <w:footerReference r:id="rId5" w:type="default"/>
      <w:pgSz w:w="11900" w:h="16840"/>
      <w:pgMar w:top="873" w:right="1060" w:bottom="873" w:left="1230" w:header="340" w:footer="454"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roman"/>
    <w:pitch w:val="default"/>
    <w:sig w:usb0="800002BF" w:usb1="38CF7CFA" w:usb2="00000016" w:usb3="00000000" w:csb0="00040001" w:csb1="00000000"/>
  </w:font>
  <w:font w:name="Helvetica">
    <w:altName w:val="Arial"/>
    <w:panose1 w:val="00000000000000000000"/>
    <w:charset w:val="00"/>
    <w:family w:val="roman"/>
    <w:pitch w:val="default"/>
    <w:sig w:usb0="00000000" w:usb1="00000000" w:usb2="00000000" w:usb3="00000000" w:csb0="00000000" w:csb1="00000000"/>
  </w:font>
  <w:font w:name="微软雅黑">
    <w:panose1 w:val="020B0503020204020204"/>
    <w:charset w:val="86"/>
    <w:family w:val="roman"/>
    <w:pitch w:val="default"/>
    <w:sig w:usb0="80000287" w:usb1="280F3C52" w:usb2="00000016" w:usb3="00000000" w:csb0="0004001F" w:csb1="00000000"/>
  </w:font>
  <w:font w:name="仿宋_GB2312">
    <w:altName w:val="仿宋"/>
    <w:panose1 w:val="00000000000000000000"/>
    <w:charset w:val="00"/>
    <w:family w:val="roman"/>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2010609030101010101"/>
    <w:charset w:val="86"/>
    <w:family w:val="modern"/>
    <w:pitch w:val="default"/>
    <w:sig w:usb0="00000000" w:usb1="00000000" w:usb2="00000000" w:usb3="00000000" w:csb0="00040000" w:csb1="00000000"/>
  </w:font>
  <w:font w:name="STSongti-SC-Regular">
    <w:altName w:val="宋体"/>
    <w:panose1 w:val="00000000000000000000"/>
    <w:charset w:val="86"/>
    <w:family w:val="auto"/>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0" w:wrap="auto" w:vAnchor="margin" w:hAnchor="text" w:yAlign="inline"/>
      <w:jc w:val="right"/>
    </w:pPr>
    <w:r>
      <w:rPr>
        <w:b/>
        <w:bCs/>
        <w:lang w:val="en-US"/>
      </w:rPr>
      <w:fldChar w:fldCharType="begin"/>
    </w:r>
    <w:r>
      <w:rPr>
        <w:b/>
        <w:bCs/>
        <w:lang w:val="en-US"/>
      </w:rPr>
      <w:instrText xml:space="preserve"> PAGE </w:instrText>
    </w:r>
    <w:r>
      <w:rPr>
        <w:b/>
        <w:bCs/>
        <w:lang w:val="en-US"/>
      </w:rPr>
      <w:fldChar w:fldCharType="separate"/>
    </w:r>
    <w:r>
      <w:rPr>
        <w:b/>
        <w:bCs/>
        <w:lang w:val="en-US"/>
      </w:rPr>
      <w:t>53</w:t>
    </w:r>
    <w:r>
      <w:rPr>
        <w:b/>
        <w:bCs/>
        <w:lang w:val="en-US"/>
      </w:rPr>
      <w:fldChar w:fldCharType="end"/>
    </w:r>
    <w:r>
      <w:rPr>
        <w:rStyle w:val="15"/>
        <w:lang w:val="zh-TW" w:eastAsia="zh-TW"/>
      </w:rPr>
      <w:t xml:space="preserve"> / </w:t>
    </w:r>
    <w:r>
      <w:rPr>
        <w:b/>
        <w:bCs/>
        <w:lang w:val="en-US"/>
      </w:rPr>
      <w:fldChar w:fldCharType="begin"/>
    </w:r>
    <w:r>
      <w:rPr>
        <w:b/>
        <w:bCs/>
        <w:lang w:val="en-US"/>
      </w:rPr>
      <w:instrText xml:space="preserve"> NUMPAGES </w:instrText>
    </w:r>
    <w:r>
      <w:rPr>
        <w:b/>
        <w:bCs/>
        <w:lang w:val="en-US"/>
      </w:rPr>
      <w:fldChar w:fldCharType="separate"/>
    </w:r>
    <w:r>
      <w:rPr>
        <w:b/>
        <w:bCs/>
        <w:lang w:val="en-US"/>
      </w:rPr>
      <w:t>53</w:t>
    </w:r>
    <w:r>
      <w:rPr>
        <w:b/>
        <w:bCs/>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0" w:wrap="auto" w:vAnchor="margin" w:hAnchor="text" w:yAlign="inline"/>
      <w:bidi w:val="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0" w:wrap="auto" w:vAnchor="margin" w:hAnchor="text" w:yAlign="inline"/>
      <w:jc w:val="right"/>
    </w:pPr>
    <w:r>
      <w:rPr>
        <w:rStyle w:val="14"/>
        <w:lang w:val="en-US"/>
      </w:rPr>
      <w:t>“</w:t>
    </w:r>
    <w:r>
      <w:rPr>
        <w:rFonts w:ascii="仿宋" w:hAnsi="仿宋" w:eastAsia="仿宋" w:cs="仿宋"/>
        <w:lang w:val="zh-TW" w:eastAsia="zh-TW"/>
      </w:rPr>
      <w:t>光伏电子工程的设计与实施</w:t>
    </w:r>
    <w:r>
      <w:rPr>
        <w:rStyle w:val="14"/>
        <w:lang w:val="en-US"/>
      </w:rPr>
      <w:t>“</w:t>
    </w:r>
    <w:r>
      <w:rPr>
        <w:rFonts w:ascii="仿宋" w:hAnsi="仿宋" w:eastAsia="仿宋" w:cs="仿宋"/>
        <w:lang w:val="zh-TW" w:eastAsia="zh-TW"/>
      </w:rPr>
      <w:t>竞赛项目方案申报书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0" w:wrap="auto" w:vAnchor="margin" w:hAnchor="text" w:yAlign="inline"/>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84DC1"/>
    <w:multiLevelType w:val="multilevel"/>
    <w:tmpl w:val="58784DC1"/>
    <w:lvl w:ilvl="0" w:tentative="0">
      <w:start w:val="1"/>
      <w:numFmt w:val="decimal"/>
      <w:suff w:val="nothing"/>
      <w:lvlText w:val="%1."/>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decimal"/>
      <w:suff w:val="nothing"/>
      <w:lvlText w:val="%2."/>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decimal"/>
      <w:suff w:val="nothing"/>
      <w:lvlText w:val="%3."/>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suff w:val="nothing"/>
      <w:lvlText w:val="%4."/>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decimal"/>
      <w:suff w:val="nothing"/>
      <w:lvlText w:val="%5."/>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decimal"/>
      <w:suff w:val="nothing"/>
      <w:lvlText w:val="%6."/>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suff w:val="nothing"/>
      <w:lvlText w:val="%7."/>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decimal"/>
      <w:suff w:val="nothing"/>
      <w:lvlText w:val="%8."/>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decimal"/>
      <w:suff w:val="nothing"/>
      <w:lvlText w:val="%9."/>
      <w:lvlJc w:val="left"/>
      <w:pPr>
        <w:ind w:left="81" w:hanging="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58784DE2"/>
    <w:multiLevelType w:val="multilevel"/>
    <w:tmpl w:val="58784DE2"/>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260" w:hanging="501"/>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2520" w:hanging="501"/>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3780" w:hanging="5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58784DED"/>
    <w:multiLevelType w:val="multilevel"/>
    <w:tmpl w:val="58784DED"/>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260" w:hanging="501"/>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2520" w:hanging="501"/>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3780" w:hanging="5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58784DF8"/>
    <w:multiLevelType w:val="multilevel"/>
    <w:tmpl w:val="58784DF8"/>
    <w:lvl w:ilvl="0" w:tentativ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entative="0">
      <w:start w:val="1"/>
      <w:numFmt w:val="lowerRoman"/>
      <w:lvlText w:val="%3."/>
      <w:lvlJc w:val="left"/>
      <w:pPr>
        <w:ind w:left="1260" w:hanging="501"/>
      </w:pPr>
      <w:rPr>
        <w:rFonts w:hAnsi="Arial Unicode MS"/>
        <w:caps w:val="0"/>
        <w:smallCaps w:val="0"/>
        <w:strike w:val="0"/>
        <w:dstrike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entative="0">
      <w:start w:val="1"/>
      <w:numFmt w:val="lowerRoman"/>
      <w:lvlText w:val="%6."/>
      <w:lvlJc w:val="left"/>
      <w:pPr>
        <w:ind w:left="2520" w:hanging="501"/>
      </w:pPr>
      <w:rPr>
        <w:rFonts w:hAnsi="Arial Unicode MS"/>
        <w:caps w:val="0"/>
        <w:smallCaps w:val="0"/>
        <w:strike w:val="0"/>
        <w:dstrike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entative="0">
      <w:start w:val="1"/>
      <w:numFmt w:val="lowerRoman"/>
      <w:lvlText w:val="%9."/>
      <w:lvlJc w:val="left"/>
      <w:pPr>
        <w:ind w:left="3780" w:hanging="5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58784E71"/>
    <w:multiLevelType w:val="multilevel"/>
    <w:tmpl w:val="58784E71"/>
    <w:lvl w:ilvl="0" w:tentative="0">
      <w:start w:val="1"/>
      <w:numFmt w:val="bullet"/>
      <w:lvlText w:val="➢"/>
      <w:lvlJc w:val="left"/>
      <w:pPr>
        <w:ind w:left="9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bullet"/>
      <w:lvlText w:val="■"/>
      <w:lvlJc w:val="left"/>
      <w:pPr>
        <w:ind w:left="13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bullet"/>
      <w:lvlText w:val="◆"/>
      <w:lvlJc w:val="left"/>
      <w:pPr>
        <w:ind w:left="17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bullet"/>
      <w:lvlText w:val="●"/>
      <w:lvlJc w:val="left"/>
      <w:pPr>
        <w:ind w:left="21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bullet"/>
      <w:lvlText w:val="■"/>
      <w:lvlJc w:val="left"/>
      <w:pPr>
        <w:ind w:left="25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bullet"/>
      <w:lvlText w:val="◆"/>
      <w:lvlJc w:val="left"/>
      <w:pPr>
        <w:ind w:left="30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bullet"/>
      <w:lvlText w:val="●"/>
      <w:lvlJc w:val="left"/>
      <w:pPr>
        <w:ind w:left="34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bullet"/>
      <w:lvlText w:val="■"/>
      <w:lvlJc w:val="left"/>
      <w:pPr>
        <w:ind w:left="38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bullet"/>
      <w:lvlText w:val="◆"/>
      <w:lvlJc w:val="left"/>
      <w:pPr>
        <w:ind w:left="42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58784E7C"/>
    <w:multiLevelType w:val="multilevel"/>
    <w:tmpl w:val="58784E7C"/>
    <w:lvl w:ilvl="0" w:tentative="0">
      <w:start w:val="1"/>
      <w:numFmt w:val="bullet"/>
      <w:lvlText w:val="➢"/>
      <w:lvlJc w:val="left"/>
      <w:pPr>
        <w:ind w:left="9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bullet"/>
      <w:lvlText w:val="■"/>
      <w:lvlJc w:val="left"/>
      <w:pPr>
        <w:ind w:left="13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bullet"/>
      <w:lvlText w:val="◆"/>
      <w:lvlJc w:val="left"/>
      <w:pPr>
        <w:ind w:left="17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bullet"/>
      <w:lvlText w:val="●"/>
      <w:lvlJc w:val="left"/>
      <w:pPr>
        <w:ind w:left="21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bullet"/>
      <w:lvlText w:val="■"/>
      <w:lvlJc w:val="left"/>
      <w:pPr>
        <w:ind w:left="25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bullet"/>
      <w:lvlText w:val="◆"/>
      <w:lvlJc w:val="left"/>
      <w:pPr>
        <w:ind w:left="30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bullet"/>
      <w:lvlText w:val="●"/>
      <w:lvlJc w:val="left"/>
      <w:pPr>
        <w:ind w:left="34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bullet"/>
      <w:lvlText w:val="■"/>
      <w:lvlJc w:val="left"/>
      <w:pPr>
        <w:ind w:left="38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bullet"/>
      <w:lvlText w:val="◆"/>
      <w:lvlJc w:val="left"/>
      <w:pPr>
        <w:ind w:left="42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58784E87"/>
    <w:multiLevelType w:val="multilevel"/>
    <w:tmpl w:val="58784E87"/>
    <w:lvl w:ilvl="0" w:tentative="0">
      <w:start w:val="1"/>
      <w:numFmt w:val="bullet"/>
      <w:lvlText w:val="➢"/>
      <w:lvlJc w:val="left"/>
      <w:pPr>
        <w:ind w:left="9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bullet"/>
      <w:lvlText w:val="■"/>
      <w:lvlJc w:val="left"/>
      <w:pPr>
        <w:ind w:left="13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bullet"/>
      <w:lvlText w:val="◆"/>
      <w:lvlJc w:val="left"/>
      <w:pPr>
        <w:ind w:left="17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bullet"/>
      <w:lvlText w:val="●"/>
      <w:lvlJc w:val="left"/>
      <w:pPr>
        <w:ind w:left="21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bullet"/>
      <w:lvlText w:val="■"/>
      <w:lvlJc w:val="left"/>
      <w:pPr>
        <w:ind w:left="25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bullet"/>
      <w:lvlText w:val="◆"/>
      <w:lvlJc w:val="left"/>
      <w:pPr>
        <w:ind w:left="30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bullet"/>
      <w:lvlText w:val="●"/>
      <w:lvlJc w:val="left"/>
      <w:pPr>
        <w:ind w:left="34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bullet"/>
      <w:lvlText w:val="■"/>
      <w:lvlJc w:val="left"/>
      <w:pPr>
        <w:ind w:left="38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bullet"/>
      <w:lvlText w:val="◆"/>
      <w:lvlJc w:val="left"/>
      <w:pPr>
        <w:ind w:left="42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58784E92"/>
    <w:multiLevelType w:val="multilevel"/>
    <w:tmpl w:val="58784E92"/>
    <w:lvl w:ilvl="0" w:tentative="0">
      <w:start w:val="1"/>
      <w:numFmt w:val="bullet"/>
      <w:lvlText w:val="➢"/>
      <w:lvlJc w:val="left"/>
      <w:pPr>
        <w:ind w:left="9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entative="0">
      <w:start w:val="1"/>
      <w:numFmt w:val="bullet"/>
      <w:lvlText w:val="■"/>
      <w:lvlJc w:val="left"/>
      <w:pPr>
        <w:ind w:left="13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entative="0">
      <w:start w:val="1"/>
      <w:numFmt w:val="bullet"/>
      <w:lvlText w:val="◆"/>
      <w:lvlJc w:val="left"/>
      <w:pPr>
        <w:ind w:left="17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entative="0">
      <w:start w:val="1"/>
      <w:numFmt w:val="bullet"/>
      <w:lvlText w:val="●"/>
      <w:lvlJc w:val="left"/>
      <w:pPr>
        <w:ind w:left="21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entative="0">
      <w:start w:val="1"/>
      <w:numFmt w:val="bullet"/>
      <w:lvlText w:val="■"/>
      <w:lvlJc w:val="left"/>
      <w:pPr>
        <w:ind w:left="258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entative="0">
      <w:start w:val="1"/>
      <w:numFmt w:val="bullet"/>
      <w:lvlText w:val="◆"/>
      <w:lvlJc w:val="left"/>
      <w:pPr>
        <w:ind w:left="300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entative="0">
      <w:start w:val="1"/>
      <w:numFmt w:val="bullet"/>
      <w:lvlText w:val="●"/>
      <w:lvlJc w:val="left"/>
      <w:pPr>
        <w:ind w:left="342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entative="0">
      <w:start w:val="1"/>
      <w:numFmt w:val="bullet"/>
      <w:lvlText w:val="■"/>
      <w:lvlJc w:val="left"/>
      <w:pPr>
        <w:ind w:left="384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entative="0">
      <w:start w:val="1"/>
      <w:numFmt w:val="bullet"/>
      <w:lvlText w:val="◆"/>
      <w:lvlJc w:val="left"/>
      <w:pPr>
        <w:ind w:left="4260" w:hanging="42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587858C1"/>
    <w:multiLevelType w:val="singleLevel"/>
    <w:tmpl w:val="587858C1"/>
    <w:lvl w:ilvl="0" w:tentative="0">
      <w:start w:val="6"/>
      <w:numFmt w:val="chineseCounting"/>
      <w:suff w:val="nothing"/>
      <w:lvlText w:val="(%1)"/>
      <w:lvlJc w:val="left"/>
    </w:lvl>
  </w:abstractNum>
  <w:num w:numId="1">
    <w:abstractNumId w:val="8"/>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autoHyphenation/>
  <w:noLineBreaksAfter w:lang="zh-CN" w:val="‘“(〔[{〈《「『【⦅〘〖«〝︵︷︹︻︽︿﹁﹃﹇﹙﹛﹝｢"/>
  <w:noLineBreaksBefore w:lang="zh-CN" w:val="’”)〕]}〉"/>
  <w:compat>
    <w:useFELayout/>
    <w:compatSetting w:name="compatibilityMode" w:uri="http://schemas.microsoft.com/office/word" w:val="15"/>
  </w:compat>
  <w:rsids>
    <w:rsidRoot w:val="00000000"/>
    <w:rsid w:val="20433A57"/>
    <w:rsid w:val="2B936881"/>
    <w:rsid w:val="2CB87EFA"/>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8"/>
      <w:szCs w:val="28"/>
      <w:u w:val="none" w:color="000000"/>
      <w:vertAlign w:val="baseline"/>
      <w:lang w:val="en-US"/>
    </w:rPr>
  </w:style>
  <w:style w:type="paragraph" w:styleId="2">
    <w:name w:val="heading 1"/>
    <w:next w:val="1"/>
    <w:link w:val="29"/>
    <w:uiPriority w:val="0"/>
    <w:pPr>
      <w:keepNext/>
      <w:keepLines/>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340" w:beforeAutospacing="0" w:after="330" w:afterAutospacing="0" w:line="578" w:lineRule="auto"/>
      <w:ind w:left="0" w:right="0" w:firstLine="0"/>
      <w:jc w:val="both"/>
      <w:outlineLvl w:val="0"/>
    </w:pPr>
    <w:rPr>
      <w:rFonts w:ascii="Calibri" w:hAnsi="Calibri" w:eastAsia="宋体" w:cs="Calibri"/>
      <w:b/>
      <w:bCs/>
      <w:color w:val="000000"/>
      <w:spacing w:val="0"/>
      <w:w w:val="100"/>
      <w:kern w:val="44"/>
      <w:position w:val="0"/>
      <w:sz w:val="32"/>
      <w:szCs w:val="32"/>
      <w:u w:val="none" w:color="000000"/>
      <w:vertAlign w:val="baseline"/>
      <w:lang w:val="en-US"/>
    </w:rPr>
  </w:style>
  <w:style w:type="paragraph" w:styleId="3">
    <w:name w:val="heading 2"/>
    <w:next w:val="1"/>
    <w:link w:val="27"/>
    <w:uiPriority w:val="0"/>
    <w:pPr>
      <w:keepNext/>
      <w:keepLines/>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260" w:beforeAutospacing="0" w:after="260" w:afterAutospacing="0" w:line="416" w:lineRule="auto"/>
      <w:ind w:left="0" w:right="0" w:firstLine="0"/>
      <w:jc w:val="both"/>
      <w:outlineLvl w:val="1"/>
    </w:pPr>
    <w:rPr>
      <w:rFonts w:ascii="Cambria" w:hAnsi="Cambria" w:eastAsia="仿宋" w:cs="Cambria"/>
      <w:b/>
      <w:bCs/>
      <w:color w:val="000000"/>
      <w:spacing w:val="0"/>
      <w:w w:val="100"/>
      <w:kern w:val="2"/>
      <w:position w:val="0"/>
      <w:sz w:val="30"/>
      <w:szCs w:val="30"/>
      <w:u w:val="none" w:color="000000"/>
      <w:vertAlign w:val="baseline"/>
      <w:lang w:val="en-US"/>
    </w:rPr>
  </w:style>
  <w:style w:type="paragraph" w:styleId="4">
    <w:name w:val="heading 3"/>
    <w:next w:val="1"/>
    <w:link w:val="28"/>
    <w:qFormat/>
    <w:uiPriority w:val="0"/>
    <w:pPr>
      <w:keepNext/>
      <w:keepLines/>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260" w:beforeAutospacing="0" w:after="260" w:afterAutospacing="0" w:line="413" w:lineRule="auto"/>
      <w:ind w:left="0" w:right="0" w:firstLine="0"/>
      <w:jc w:val="both"/>
      <w:outlineLvl w:val="2"/>
    </w:pPr>
    <w:rPr>
      <w:rFonts w:ascii="Calibri" w:hAnsi="Calibri" w:eastAsia="仿宋" w:cs="Calibri"/>
      <w:b/>
      <w:bCs/>
      <w:color w:val="000000"/>
      <w:spacing w:val="0"/>
      <w:w w:val="100"/>
      <w:kern w:val="2"/>
      <w:position w:val="0"/>
      <w:sz w:val="30"/>
      <w:szCs w:val="30"/>
      <w:u w:val="none" w:color="000000"/>
      <w:vertAlign w:val="baseline"/>
      <w:lang w:val="en-US"/>
    </w:rPr>
  </w:style>
  <w:style w:type="character" w:default="1" w:styleId="10">
    <w:name w:val="Default Paragraph Fon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5">
    <w:name w:val="toc 3"/>
    <w:next w:val="1"/>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left" w:pos="840"/>
        <w:tab w:val="right" w:leader="dot" w:pos="9590"/>
      </w:tabs>
      <w:suppressAutoHyphens w:val="0"/>
      <w:bidi w:val="0"/>
      <w:spacing w:before="0" w:beforeAutospacing="0" w:after="0" w:afterAutospacing="0" w:line="240" w:lineRule="auto"/>
      <w:ind w:left="0" w:right="0" w:firstLine="0"/>
      <w:jc w:val="left"/>
      <w:outlineLvl w:val="9"/>
    </w:pPr>
    <w:rPr>
      <w:rFonts w:ascii="Calibri" w:hAnsi="Calibri" w:eastAsia="Calibri" w:cs="Calibri"/>
      <w:color w:val="000000"/>
      <w:spacing w:val="0"/>
      <w:w w:val="100"/>
      <w:kern w:val="0"/>
      <w:position w:val="0"/>
      <w:sz w:val="20"/>
      <w:szCs w:val="20"/>
      <w:u w:val="none" w:color="auto"/>
      <w:vertAlign w:val="baseline"/>
    </w:rPr>
  </w:style>
  <w:style w:type="paragraph" w:styleId="6">
    <w:name w:val="footer"/>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left"/>
      <w:outlineLvl w:val="9"/>
    </w:pPr>
    <w:rPr>
      <w:rFonts w:ascii="Calibri" w:hAnsi="Calibri" w:eastAsia="Calibri" w:cs="Calibri"/>
      <w:color w:val="000000"/>
      <w:spacing w:val="0"/>
      <w:w w:val="100"/>
      <w:kern w:val="2"/>
      <w:position w:val="0"/>
      <w:sz w:val="18"/>
      <w:szCs w:val="18"/>
      <w:u w:val="none" w:color="000000"/>
      <w:vertAlign w:val="baseline"/>
      <w:lang w:val="en-US"/>
    </w:rPr>
  </w:style>
  <w:style w:type="paragraph" w:styleId="7">
    <w:name w:val="header"/>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single" w:color="000000" w:sz="6"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center"/>
      <w:outlineLvl w:val="9"/>
    </w:pPr>
    <w:rPr>
      <w:rFonts w:ascii="Calibri" w:hAnsi="Calibri" w:eastAsia="Calibri" w:cs="Calibri"/>
      <w:color w:val="000000"/>
      <w:spacing w:val="0"/>
      <w:w w:val="100"/>
      <w:kern w:val="2"/>
      <w:position w:val="0"/>
      <w:sz w:val="18"/>
      <w:szCs w:val="18"/>
      <w:u w:val="none" w:color="000000"/>
      <w:vertAlign w:val="baseline"/>
      <w:lang w:val="en-US"/>
    </w:rPr>
  </w:style>
  <w:style w:type="paragraph" w:styleId="8">
    <w:name w:val="toc 1"/>
    <w:next w:val="1"/>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left" w:pos="840"/>
        <w:tab w:val="right" w:leader="dot" w:pos="9590"/>
      </w:tabs>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8"/>
      <w:szCs w:val="28"/>
      <w:u w:val="none" w:color="000000"/>
      <w:vertAlign w:val="baseline"/>
      <w:lang w:val="en-US"/>
    </w:rPr>
  </w:style>
  <w:style w:type="paragraph" w:styleId="9">
    <w:name w:val="toc 2"/>
    <w:next w:val="1"/>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left" w:pos="1470"/>
        <w:tab w:val="right" w:leader="dot" w:pos="9590"/>
      </w:tabs>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8"/>
      <w:szCs w:val="28"/>
      <w:u w:val="none" w:color="000000"/>
      <w:vertAlign w:val="baseline"/>
      <w:lang w:val="en-US"/>
    </w:rPr>
  </w:style>
  <w:style w:type="character" w:styleId="11">
    <w:name w:val="Hyperlink"/>
    <w:uiPriority w:val="0"/>
    <w:rPr>
      <w:u w:val="single"/>
    </w:rPr>
  </w:style>
  <w:style w:type="table" w:customStyle="1" w:styleId="13">
    <w:name w:val="Table Normal"/>
    <w:qFormat/>
    <w:uiPriority w:val="0"/>
    <w:tblPr>
      <w:tblLayout w:type="fixed"/>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character" w:customStyle="1" w:styleId="14">
    <w:name w:val="无 A A"/>
    <w:qFormat/>
    <w:uiPriority w:val="0"/>
    <w:rPr>
      <w:lang w:val="en-US"/>
    </w:rPr>
  </w:style>
  <w:style w:type="character" w:customStyle="1" w:styleId="15">
    <w:name w:val="Hyperlink.1"/>
    <w:uiPriority w:val="0"/>
    <w:rPr>
      <w:lang w:val="zh-TW" w:eastAsia="zh-TW"/>
    </w:rPr>
  </w:style>
  <w:style w:type="paragraph" w:customStyle="1" w:styleId="16">
    <w:name w:val="页眉与页脚"/>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w:hAnsi="Helvetica" w:eastAsia="Helvetica" w:cs="Helvetica"/>
      <w:color w:val="000000"/>
      <w:spacing w:val="0"/>
      <w:w w:val="100"/>
      <w:kern w:val="0"/>
      <w:position w:val="0"/>
      <w:sz w:val="24"/>
      <w:szCs w:val="24"/>
      <w:u w:val="none" w:color="auto"/>
      <w:vertAlign w:val="baseline"/>
    </w:rPr>
  </w:style>
  <w:style w:type="paragraph" w:customStyle="1" w:styleId="17">
    <w:name w:val="TOC 标题1"/>
    <w:next w:val="1"/>
    <w:link w:val="30"/>
    <w:qFormat/>
    <w:uiPriority w:val="0"/>
    <w:pPr>
      <w:keepNext/>
      <w:keepLines/>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480" w:beforeAutospacing="0" w:after="0" w:afterAutospacing="0" w:line="276" w:lineRule="auto"/>
      <w:ind w:left="0" w:right="0" w:firstLine="0"/>
      <w:jc w:val="left"/>
      <w:outlineLvl w:val="9"/>
    </w:pPr>
    <w:rPr>
      <w:rFonts w:ascii="Cambria" w:hAnsi="Cambria" w:eastAsia="Cambria" w:cs="Cambria"/>
      <w:b/>
      <w:bCs/>
      <w:color w:val="365F91"/>
      <w:spacing w:val="0"/>
      <w:w w:val="100"/>
      <w:kern w:val="0"/>
      <w:position w:val="0"/>
      <w:sz w:val="28"/>
      <w:szCs w:val="28"/>
      <w:u w:val="none" w:color="365F91"/>
      <w:vertAlign w:val="baseline"/>
      <w:lang w:val="en-US"/>
    </w:rPr>
  </w:style>
  <w:style w:type="paragraph" w:customStyle="1" w:styleId="18">
    <w:name w:val="正文 A"/>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vertAlign w:val="baseline"/>
      <w:lang w:val="en-US"/>
    </w:rPr>
  </w:style>
  <w:style w:type="character" w:customStyle="1" w:styleId="19">
    <w:name w:val="无"/>
    <w:qFormat/>
    <w:uiPriority w:val="0"/>
  </w:style>
  <w:style w:type="character" w:customStyle="1" w:styleId="20">
    <w:name w:val="Hyperlink.0"/>
    <w:basedOn w:val="19"/>
    <w:qFormat/>
    <w:uiPriority w:val="0"/>
    <w:rPr>
      <w:rFonts w:ascii="Times New Roman" w:hAnsi="Times New Roman" w:eastAsia="Times New Roman" w:cs="Times New Roman"/>
      <w:lang w:val="en-US"/>
    </w:rPr>
  </w:style>
  <w:style w:type="character" w:customStyle="1" w:styleId="21">
    <w:name w:val="Hyperlink.2"/>
    <w:basedOn w:val="19"/>
    <w:qFormat/>
    <w:uiPriority w:val="0"/>
    <w:rPr>
      <w:rFonts w:ascii="Times New Roman" w:hAnsi="Times New Roman" w:eastAsia="Times New Roman" w:cs="Times New Roman"/>
      <w:lang w:val="zh-TW" w:eastAsia="zh-TW"/>
    </w:rPr>
  </w:style>
  <w:style w:type="character" w:customStyle="1" w:styleId="22">
    <w:name w:val="Hyperlink.2.0"/>
    <w:qFormat/>
    <w:uiPriority w:val="0"/>
    <w:rPr>
      <w:rFonts w:ascii="仿宋" w:hAnsi="仿宋" w:eastAsia="仿宋" w:cs="仿宋"/>
      <w:lang w:val="en-US"/>
    </w:rPr>
  </w:style>
  <w:style w:type="paragraph" w:customStyle="1" w:styleId="23">
    <w:name w:val="彩色列表 - 强调文字颜色 11"/>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420"/>
      <w:jc w:val="both"/>
      <w:outlineLvl w:val="9"/>
    </w:pPr>
    <w:rPr>
      <w:rFonts w:hint="eastAsia" w:ascii="Arial Unicode MS" w:hAnsi="Arial Unicode MS" w:eastAsia="Arial Unicode MS" w:cs="Arial Unicode MS"/>
      <w:color w:val="000000"/>
      <w:spacing w:val="0"/>
      <w:w w:val="100"/>
      <w:kern w:val="2"/>
      <w:position w:val="0"/>
      <w:sz w:val="28"/>
      <w:szCs w:val="28"/>
      <w:u w:val="none" w:color="000000"/>
      <w:vertAlign w:val="baseline"/>
      <w:lang w:val="en-US"/>
    </w:rPr>
  </w:style>
  <w:style w:type="paragraph" w:customStyle="1" w:styleId="24">
    <w:name w:val="正文 A A"/>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1"/>
      <w:szCs w:val="21"/>
      <w:u w:val="none" w:color="000000"/>
      <w:vertAlign w:val="baseline"/>
      <w:lang w:val="en-US"/>
    </w:rPr>
  </w:style>
  <w:style w:type="paragraph" w:customStyle="1" w:styleId="25">
    <w:name w:val="表格样式 2 B"/>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0"/>
      <w:position w:val="0"/>
      <w:sz w:val="20"/>
      <w:szCs w:val="20"/>
      <w:u w:val="none" w:color="000000"/>
      <w:vertAlign w:val="baseline"/>
      <w:lang w:val="zh-TW" w:eastAsia="zh-TW"/>
    </w:rPr>
  </w:style>
  <w:style w:type="paragraph" w:customStyle="1" w:styleId="26">
    <w:name w:val="列出段落21"/>
    <w:qFormat/>
    <w:uiPriority w:val="0"/>
    <w:pPr>
      <w:keepNext w:val="0"/>
      <w:keepLines w:val="0"/>
      <w:pageBreakBefore w:val="0"/>
      <w:framePr w:w="0"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420"/>
      <w:jc w:val="both"/>
      <w:outlineLvl w:val="9"/>
    </w:pPr>
    <w:rPr>
      <w:rFonts w:ascii="Calibri" w:hAnsi="Calibri" w:eastAsia="Calibri" w:cs="Calibri"/>
      <w:color w:val="000000"/>
      <w:spacing w:val="0"/>
      <w:w w:val="100"/>
      <w:kern w:val="2"/>
      <w:position w:val="0"/>
      <w:sz w:val="28"/>
      <w:szCs w:val="28"/>
      <w:u w:val="none" w:color="000000"/>
      <w:vertAlign w:val="baseline"/>
      <w:lang w:val="en-US"/>
    </w:rPr>
  </w:style>
  <w:style w:type="character" w:customStyle="1" w:styleId="27">
    <w:name w:val="标题 2 Char"/>
    <w:link w:val="3"/>
    <w:qFormat/>
    <w:uiPriority w:val="0"/>
    <w:rPr>
      <w:rFonts w:ascii="Cambria" w:hAnsi="Cambria" w:eastAsia="仿宋" w:cs="Cambria"/>
      <w:b/>
      <w:bCs/>
      <w:color w:val="000000"/>
      <w:spacing w:val="0"/>
      <w:w w:val="100"/>
      <w:kern w:val="2"/>
      <w:position w:val="0"/>
      <w:sz w:val="30"/>
      <w:szCs w:val="30"/>
      <w:u w:val="none" w:color="000000"/>
      <w:vertAlign w:val="baseline"/>
      <w:lang w:val="en-US"/>
    </w:rPr>
  </w:style>
  <w:style w:type="character" w:customStyle="1" w:styleId="28">
    <w:name w:val="标题 3 Char"/>
    <w:link w:val="4"/>
    <w:qFormat/>
    <w:uiPriority w:val="0"/>
    <w:rPr>
      <w:rFonts w:ascii="Calibri" w:hAnsi="Calibri" w:eastAsia="仿宋" w:cs="Calibri"/>
      <w:b/>
      <w:bCs/>
      <w:color w:val="000000"/>
      <w:spacing w:val="0"/>
      <w:w w:val="100"/>
      <w:kern w:val="2"/>
      <w:position w:val="0"/>
      <w:sz w:val="30"/>
      <w:szCs w:val="30"/>
      <w:u w:val="none" w:color="000000"/>
      <w:vertAlign w:val="baseline"/>
      <w:lang w:val="en-US"/>
    </w:rPr>
  </w:style>
  <w:style w:type="character" w:customStyle="1" w:styleId="29">
    <w:name w:val="标题 1 Char"/>
    <w:link w:val="2"/>
    <w:qFormat/>
    <w:uiPriority w:val="0"/>
    <w:rPr>
      <w:rFonts w:ascii="Calibri" w:hAnsi="Calibri" w:eastAsia="宋体" w:cs="Calibri"/>
      <w:b/>
      <w:bCs/>
      <w:color w:val="000000"/>
      <w:spacing w:val="0"/>
      <w:w w:val="100"/>
      <w:kern w:val="44"/>
      <w:position w:val="0"/>
      <w:sz w:val="32"/>
      <w:szCs w:val="32"/>
      <w:u w:val="none" w:color="000000"/>
      <w:vertAlign w:val="baseline"/>
      <w:lang w:val="en-US"/>
    </w:rPr>
  </w:style>
  <w:style w:type="character" w:customStyle="1" w:styleId="30">
    <w:name w:val="TOC 标题1 Char"/>
    <w:link w:val="17"/>
    <w:qFormat/>
    <w:uiPriority w:val="0"/>
    <w:rPr>
      <w:rFonts w:ascii="Cambria" w:hAnsi="Cambria" w:eastAsia="Cambria" w:cs="Cambria"/>
      <w:b/>
      <w:bCs/>
      <w:color w:val="365F91"/>
      <w:spacing w:val="0"/>
      <w:w w:val="100"/>
      <w:kern w:val="0"/>
      <w:position w:val="0"/>
      <w:sz w:val="28"/>
      <w:szCs w:val="28"/>
      <w:u w:val="none" w:color="365F91"/>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8" tIns="45718" rIns="45718" bIns="45718"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upright="0">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ScaleCrop>false</ScaleCrop>
  <LinksUpToDate>false</LinksUpToDate>
  <CharactersWithSpaces>0</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2017-01-13T03:25:00Z</dcterms:created>
  <dc:creator>Administrator</dc:creator>
  <cp:lastModifiedBy>Administrator</cp:lastModifiedBy>
  <dcterms:modified xsi:type="dcterms:W3CDTF">2017-01-13T05:05:04Z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