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9B3F">
      <w:pPr>
        <w:tabs>
          <w:tab w:val="left" w:pos="630"/>
          <w:tab w:val="center" w:pos="4535"/>
        </w:tabs>
        <w:snapToGrid w:val="0"/>
        <w:spacing w:line="360" w:lineRule="auto"/>
        <w:jc w:val="center"/>
        <w:outlineLvl w:val="0"/>
        <w:rPr>
          <w:rFonts w:hint="eastAsia" w:ascii="宋体" w:hAnsi="宋体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询价清单及技术、服务要求</w:t>
      </w:r>
      <w:bookmarkEnd w:id="0"/>
    </w:p>
    <w:p w14:paraId="7E63411D">
      <w:pPr>
        <w:snapToGrid w:val="0"/>
        <w:spacing w:line="360" w:lineRule="auto"/>
        <w:ind w:firstLine="201" w:firstLineChars="200"/>
        <w:rPr>
          <w:rFonts w:ascii="宋体"/>
          <w:b/>
          <w:bCs/>
          <w:sz w:val="10"/>
          <w:szCs w:val="10"/>
        </w:rPr>
      </w:pPr>
    </w:p>
    <w:p w14:paraId="5A6EC12F">
      <w:pPr>
        <w:snapToGrid w:val="0"/>
        <w:spacing w:line="360" w:lineRule="auto"/>
        <w:ind w:firstLine="562" w:firstLineChars="200"/>
        <w:jc w:val="left"/>
        <w:rPr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/>
          <w:b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采购清单、</w:t>
      </w:r>
      <w:r>
        <w:rPr>
          <w:rFonts w:ascii="宋体" w:hAnsi="宋体"/>
          <w:b/>
          <w:color w:val="000000"/>
          <w:kern w:val="0"/>
          <w:sz w:val="28"/>
          <w:szCs w:val="28"/>
        </w:rPr>
        <w:t>技术参数</w:t>
      </w:r>
      <w:r>
        <w:rPr>
          <w:rFonts w:hint="eastAsia" w:ascii="宋体" w:hAnsi="宋体"/>
          <w:b/>
          <w:color w:val="000000"/>
          <w:kern w:val="0"/>
          <w:sz w:val="28"/>
          <w:szCs w:val="28"/>
        </w:rPr>
        <w:t>及要求：</w:t>
      </w:r>
    </w:p>
    <w:tbl>
      <w:tblPr>
        <w:tblStyle w:val="2"/>
        <w:tblW w:w="9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1"/>
        <w:gridCol w:w="4818"/>
        <w:gridCol w:w="825"/>
        <w:gridCol w:w="876"/>
      </w:tblGrid>
      <w:tr w14:paraId="074E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50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EFD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4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FE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E40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08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14:paraId="41C6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1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9C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电力执行机器人及配套设备租赁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32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巡检机器人1套，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其搭载六轴机械臂与高精度传感器，可完成变电设备按钮操作、倒闸任务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测试配电柜一套，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巡检机器人沿固定路径移动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基于深度学习的决策算法，支持任务级自主规划与实时避障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76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E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套</w:t>
            </w:r>
          </w:p>
        </w:tc>
      </w:tr>
      <w:tr w14:paraId="460D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5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EA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数字孪生软件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24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基于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采购方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指定的复合机器人模型进行仿真定制，能够实现基于工业互联网云平台的3D数字孪生虚实互动，包含以下功能：</w:t>
            </w:r>
          </w:p>
          <w:p w14:paraId="3F21AA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提供1:1的模型定制，其特征为复合机器人移动底盘、六轴协作机器人、机器人末端工具、二自由度云台等；</w:t>
            </w:r>
          </w:p>
          <w:p w14:paraId="679CB1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提供MQTT数据集成服务，软件能够实现与真实的机器人通过MQTT服务器进行互通，并提供MQTT数据采集及调试服务；</w:t>
            </w:r>
          </w:p>
          <w:p w14:paraId="2FDE8D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提供在线B/S集成服务：软件能够运行至WEB端，具有三维交互、MQTT数据测试，图表数据可视化的功能；</w:t>
            </w:r>
          </w:p>
          <w:p w14:paraId="57B6DA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提供虚拟电控柜模型仿真，基于甲方的虚拟电控柜进行模型定制的仿真；</w:t>
            </w:r>
          </w:p>
          <w:p w14:paraId="135CE6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虚实互动数据内容包含：</w:t>
            </w:r>
          </w:p>
          <w:p w14:paraId="32E48D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机器人位置坐标、角度虚实互动；</w:t>
            </w:r>
          </w:p>
          <w:p w14:paraId="28D5F7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协作机械臂的轴角及姿态虚实互动；</w:t>
            </w:r>
          </w:p>
          <w:p w14:paraId="10F195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机器人地图自定义（根据机器人的SLAM地图定义场景中机器人运行范围坐标）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；</w:t>
            </w:r>
          </w:p>
          <w:p w14:paraId="75CE83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机器人末端工具的数据同步</w:t>
            </w:r>
            <w:r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  <w:t>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2F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套</w:t>
            </w:r>
          </w:p>
        </w:tc>
      </w:tr>
      <w:tr w14:paraId="1AA1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2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9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技术服务</w:t>
            </w:r>
          </w:p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0E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设备安装调试，现场培训及指导（包括设备装卸及运输）。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09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5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项</w:t>
            </w:r>
          </w:p>
        </w:tc>
      </w:tr>
      <w:tr w14:paraId="749E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5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64CF">
            <w:pPr>
              <w:jc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合计：玖万玖仟元整（￥99000）</w:t>
            </w:r>
          </w:p>
        </w:tc>
      </w:tr>
    </w:tbl>
    <w:p w14:paraId="775DF4FE">
      <w:pPr>
        <w:snapToGrid w:val="0"/>
        <w:spacing w:line="360" w:lineRule="auto"/>
        <w:ind w:firstLine="562" w:firstLineChars="200"/>
        <w:jc w:val="lef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二、其他技术服务要求</w:t>
      </w:r>
    </w:p>
    <w:p w14:paraId="1C36E330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1.设备安装</w:t>
      </w:r>
    </w:p>
    <w:p w14:paraId="6C2A9A0B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乙方必须向采购人提供本项目采购的所有硬件、软件的安装和维护服务的全部内容，并在需要的时候配合设备使用单位完成整个系统的联调工作。</w:t>
      </w:r>
    </w:p>
    <w:p w14:paraId="02CF8102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2.测试和验收</w:t>
      </w:r>
    </w:p>
    <w:p w14:paraId="726FDFAB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设备安装完成后，乙方应根据所提交的验收方案和实施办法，自行组织设备和人员，并在使用单位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检查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下现场进行测试和验收。</w:t>
      </w:r>
    </w:p>
    <w:p w14:paraId="561E1B0F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3.期限及用途</w:t>
      </w:r>
    </w:p>
    <w:p w14:paraId="61FECEAA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（1）技术培训服务及设备使用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期限自设备到乙方指定地点之日起至合同期满归还，共计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天。期满时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方如需续借使用，则应在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技术培训服务及设备使用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期满前三日内向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方提交书面申请经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方同意后方可续借，并签订补充协议。</w:t>
      </w:r>
    </w:p>
    <w:p w14:paraId="060F2C9D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（2）技术培训服务及设备使用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期满时，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应无条件将所借设备完整归还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方，若超过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个工作日拒不归还的，视为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全款购买，并支付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机器人的剩余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总价款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（单台设备价值68万元，以上清单报价仅作乙方培训服务费用）。</w:t>
      </w:r>
    </w:p>
    <w:p w14:paraId="18D800E5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（3）涉及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设备仅用于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郑州铁路职业技术学院参加世界职业技能大赛争夺赛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，不作他用。</w:t>
      </w:r>
    </w:p>
    <w:p w14:paraId="54A11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2025-08-16T02:20:33Z</dcterms:created>
  <dc:creator>Administrator</dc:creator>
  <cp:lastModifiedBy>看世界冷热</cp:lastModifiedBy>
  <dcterms:modified xsi:type="dcterms:W3CDTF">2025-08-16T02:20:45Z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eyJoZGlkIjoiNzRhNWU5Njg0OWRiYjE2NzE1ZWFkYWRhZDcyMjIxMTEiLCJ1c2VySWQiOiIzMTY1MDc3NDMifQ==</vt:lpwstr>
  </property>
  <property fmtid="{D5CDD505-2E9C-101B-9397-08002B2CF9AE}" pid="4" name="ICV">
    <vt:lpwstr>6C0BF16901374EC29AE005BC03AB686B_12</vt:lpwstr>
  </property>
</Properties>
</file>