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768" w:rsidRDefault="00387768" w:rsidP="00387768">
      <w:pPr>
        <w:spacing w:line="560" w:lineRule="exact"/>
        <w:jc w:val="center"/>
        <w:rPr>
          <w:rFonts w:ascii="方正小标宋简体" w:eastAsia="方正小标宋简体"/>
          <w:sz w:val="44"/>
          <w:szCs w:val="48"/>
        </w:rPr>
      </w:pPr>
      <w:r w:rsidRPr="00387768">
        <w:rPr>
          <w:rFonts w:ascii="方正小标宋简体" w:eastAsia="方正小标宋简体" w:hint="eastAsia"/>
          <w:sz w:val="44"/>
          <w:szCs w:val="48"/>
        </w:rPr>
        <w:t>关于申报 2019年度河南省社科普及</w:t>
      </w:r>
    </w:p>
    <w:p w:rsidR="00A92B91" w:rsidRDefault="00387768" w:rsidP="00387768">
      <w:pPr>
        <w:spacing w:line="560" w:lineRule="exact"/>
        <w:jc w:val="center"/>
        <w:rPr>
          <w:rFonts w:ascii="方正小标宋简体" w:eastAsia="方正小标宋简体"/>
          <w:sz w:val="44"/>
          <w:szCs w:val="48"/>
        </w:rPr>
      </w:pPr>
      <w:r w:rsidRPr="00387768">
        <w:rPr>
          <w:rFonts w:ascii="方正小标宋简体" w:eastAsia="方正小标宋简体" w:hint="eastAsia"/>
          <w:sz w:val="44"/>
          <w:szCs w:val="48"/>
        </w:rPr>
        <w:t>规划项目的通知</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校属各单位：</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为贯彻落实《河南省社会科学普及条例》，充分调动全省社科工作者参与社科普及作品创作和开展社科普及工作的积极性，省社科联决定组织开展2019年度河南省社科普及规划项目的申报工作。现将有关事项通知如下：</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一、指导思想</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社科普及规划项目的申报和创作，要高举习近平新时代中国特色社会主义思想伟大旗帜，深入贯彻落实党的十九大精神，以及习近平总书记视察指导河南时的重要讲话精神和省委十届六次、七次、八次、九次全会精神，坚持“三贴近”原则，围绕我省经济社会发展和人民群众生产生活等方面的需要，弘扬科学精神，倡导科学方法，传播科学思想，普及科学知识，为中原更加出彩贡献力量。</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二、基本要求</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坚持以提高公众社科素养为根本目的，弘扬主旋律，</w:t>
      </w:r>
      <w:proofErr w:type="gramStart"/>
      <w:r w:rsidRPr="00387768">
        <w:rPr>
          <w:rFonts w:ascii="仿宋_GB2312" w:eastAsia="仿宋_GB2312" w:hint="eastAsia"/>
          <w:sz w:val="32"/>
          <w:szCs w:val="32"/>
        </w:rPr>
        <w:t>传播正</w:t>
      </w:r>
      <w:proofErr w:type="gramEnd"/>
      <w:r w:rsidRPr="00387768">
        <w:rPr>
          <w:rFonts w:ascii="仿宋_GB2312" w:eastAsia="仿宋_GB2312" w:hint="eastAsia"/>
          <w:sz w:val="32"/>
          <w:szCs w:val="32"/>
        </w:rPr>
        <w:t>能量，体现时代性、科学性、知识性、实用性和可读性，内容健康向上，力求图文并茂、深入浅出、通俗易懂，有较强的说服力和感染力。</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项目形式包括著作、口袋书、文章、PPT、音频、视频等。不接受社科理论研究、应用对策研究的申报，不接受论文成果的申报。</w:t>
      </w:r>
    </w:p>
    <w:p w:rsidR="00387768" w:rsidRPr="00387768" w:rsidRDefault="00387768" w:rsidP="00387768">
      <w:pPr>
        <w:spacing w:line="560" w:lineRule="exact"/>
        <w:rPr>
          <w:rFonts w:ascii="仿宋_GB2312" w:eastAsia="仿宋_GB2312"/>
          <w:sz w:val="32"/>
          <w:szCs w:val="32"/>
        </w:rPr>
      </w:pP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lastRenderedPageBreak/>
        <w:t xml:space="preserve">    三、选题方向</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1.新时代河南出彩故事。</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2.宣传阐释“中原学”。</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3.党的建设高质量推动经济发展高质量。</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4.打好“四张牌”。</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5.防范化解重大风险。</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6.内陆地区开放型经济发展新路子。</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7.基层党建与基层治理。</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8.党员干部干事创业良好氛围。</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9.县域治理与乡村振兴。</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10.生态优先绿色发展。</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11.河南优秀传统文化。</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12.学校思想政治教育。</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13.宣传普及现代生活理念、健康方式，提升公众身心健康素质。</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四、注意事项</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 xml:space="preserve">    项目负责人只能申报一个项目，项目组成员不得超过5人(含负责人)，项目一般应在2020年3月31日前完成。</w:t>
      </w:r>
    </w:p>
    <w:p w:rsidR="00387768" w:rsidRPr="00387768" w:rsidRDefault="00387768" w:rsidP="00387768">
      <w:pPr>
        <w:spacing w:line="560" w:lineRule="exact"/>
        <w:rPr>
          <w:rFonts w:ascii="仿宋_GB2312" w:eastAsia="仿宋_GB2312"/>
          <w:sz w:val="32"/>
          <w:szCs w:val="32"/>
        </w:rPr>
      </w:pPr>
      <w:proofErr w:type="gramStart"/>
      <w:r w:rsidRPr="00387768">
        <w:rPr>
          <w:rFonts w:ascii="仿宋_GB2312" w:eastAsia="仿宋_GB2312" w:hint="eastAsia"/>
          <w:sz w:val="32"/>
          <w:szCs w:val="32"/>
        </w:rPr>
        <w:t>每年结项时</w:t>
      </w:r>
      <w:proofErr w:type="gramEnd"/>
      <w:r w:rsidRPr="00387768">
        <w:rPr>
          <w:rFonts w:ascii="仿宋_GB2312" w:eastAsia="仿宋_GB2312" w:hint="eastAsia"/>
          <w:sz w:val="32"/>
          <w:szCs w:val="32"/>
        </w:rPr>
        <w:t>省社科联将评出若干项优秀社科普及规划项目予以表彰并颁发证书。</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五、我校申报要求</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1.申报课题时，课题主持人下载《2019年度河南省社科普及规划项目申请表》，填写项目申报的各项内容，登录</w:t>
      </w:r>
      <w:proofErr w:type="gramStart"/>
      <w:r w:rsidRPr="00387768">
        <w:rPr>
          <w:rFonts w:ascii="仿宋_GB2312" w:eastAsia="仿宋_GB2312" w:hint="eastAsia"/>
          <w:sz w:val="32"/>
          <w:szCs w:val="32"/>
        </w:rPr>
        <w:t>云服务</w:t>
      </w:r>
      <w:proofErr w:type="gramEnd"/>
      <w:r w:rsidRPr="00387768">
        <w:rPr>
          <w:rFonts w:ascii="仿宋_GB2312" w:eastAsia="仿宋_GB2312" w:hint="eastAsia"/>
          <w:sz w:val="32"/>
          <w:szCs w:val="32"/>
        </w:rPr>
        <w:t>平台，点击“我的项目”、“校内申报”、“进入申报”、“新增”，</w:t>
      </w:r>
      <w:r w:rsidRPr="00387768">
        <w:rPr>
          <w:rFonts w:ascii="仿宋_GB2312" w:eastAsia="仿宋_GB2312" w:hint="eastAsia"/>
          <w:sz w:val="32"/>
          <w:szCs w:val="32"/>
        </w:rPr>
        <w:lastRenderedPageBreak/>
        <w:t>填写所有项目内容，上传“2019年度河南省社科普及规划项目申请表”，保存，上传的电子稿和上交的纸质</w:t>
      </w:r>
      <w:proofErr w:type="gramStart"/>
      <w:r w:rsidRPr="00387768">
        <w:rPr>
          <w:rFonts w:ascii="仿宋_GB2312" w:eastAsia="仿宋_GB2312" w:hint="eastAsia"/>
          <w:sz w:val="32"/>
          <w:szCs w:val="32"/>
        </w:rPr>
        <w:t>稿必须</w:t>
      </w:r>
      <w:proofErr w:type="gramEnd"/>
      <w:r w:rsidRPr="00387768">
        <w:rPr>
          <w:rFonts w:ascii="仿宋_GB2312" w:eastAsia="仿宋_GB2312" w:hint="eastAsia"/>
          <w:sz w:val="32"/>
          <w:szCs w:val="32"/>
        </w:rPr>
        <w:t>一致。纸质稿需用A4纸双面打印，左侧装订，上交3份（1份学校存档，2份上交河南省社科联）至各院系科研秘书。</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2.我院独立的</w:t>
      </w:r>
      <w:proofErr w:type="gramStart"/>
      <w:r w:rsidRPr="00387768">
        <w:rPr>
          <w:rFonts w:ascii="仿宋_GB2312" w:eastAsia="仿宋_GB2312" w:hint="eastAsia"/>
          <w:sz w:val="32"/>
          <w:szCs w:val="32"/>
        </w:rPr>
        <w:t>云服务</w:t>
      </w:r>
      <w:proofErr w:type="gramEnd"/>
      <w:r w:rsidRPr="00387768">
        <w:rPr>
          <w:rFonts w:ascii="仿宋_GB2312" w:eastAsia="仿宋_GB2312" w:hint="eastAsia"/>
          <w:sz w:val="32"/>
          <w:szCs w:val="32"/>
        </w:rPr>
        <w:t>平台系统访问地址为：</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http://zzrvtc.rcloud.edu.cn/（推荐使用IE8.0/IE9.0浏览器）。</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3.我院</w:t>
      </w:r>
      <w:proofErr w:type="gramStart"/>
      <w:r w:rsidRPr="00387768">
        <w:rPr>
          <w:rFonts w:ascii="仿宋_GB2312" w:eastAsia="仿宋_GB2312" w:hint="eastAsia"/>
          <w:sz w:val="32"/>
          <w:szCs w:val="32"/>
        </w:rPr>
        <w:t>云服务</w:t>
      </w:r>
      <w:proofErr w:type="gramEnd"/>
      <w:r w:rsidRPr="00387768">
        <w:rPr>
          <w:rFonts w:ascii="仿宋_GB2312" w:eastAsia="仿宋_GB2312" w:hint="eastAsia"/>
          <w:sz w:val="32"/>
          <w:szCs w:val="32"/>
        </w:rPr>
        <w:t>平台申报受理的时间为：2019年5月17日～6月14日16：00。</w:t>
      </w:r>
    </w:p>
    <w:p w:rsidR="00387768" w:rsidRPr="00387768" w:rsidRDefault="00387768" w:rsidP="00387768">
      <w:pPr>
        <w:spacing w:line="560" w:lineRule="exact"/>
        <w:rPr>
          <w:rFonts w:ascii="仿宋_GB2312" w:eastAsia="仿宋_GB2312"/>
          <w:sz w:val="32"/>
          <w:szCs w:val="32"/>
        </w:rPr>
      </w:pPr>
      <w:r w:rsidRPr="00387768">
        <w:rPr>
          <w:rFonts w:ascii="仿宋_GB2312" w:eastAsia="仿宋_GB2312" w:hint="eastAsia"/>
          <w:sz w:val="32"/>
          <w:szCs w:val="32"/>
        </w:rPr>
        <w:t>4. 报送安排：每项课题需交纸质申报书一式3份，装袋，贴上封皮，于2019年6月14日前由各院系科研秘书统一报送科研外事处。申请表和汇总</w:t>
      </w:r>
      <w:proofErr w:type="gramStart"/>
      <w:r w:rsidRPr="00387768">
        <w:rPr>
          <w:rFonts w:ascii="仿宋_GB2312" w:eastAsia="仿宋_GB2312" w:hint="eastAsia"/>
          <w:sz w:val="32"/>
          <w:szCs w:val="32"/>
        </w:rPr>
        <w:t>表电子稿</w:t>
      </w:r>
      <w:proofErr w:type="gramEnd"/>
      <w:r w:rsidRPr="00387768">
        <w:rPr>
          <w:rFonts w:ascii="仿宋_GB2312" w:eastAsia="仿宋_GB2312" w:hint="eastAsia"/>
          <w:sz w:val="32"/>
          <w:szCs w:val="32"/>
        </w:rPr>
        <w:t>，打包发至科研外事</w:t>
      </w:r>
      <w:proofErr w:type="gramStart"/>
      <w:r w:rsidRPr="00387768">
        <w:rPr>
          <w:rFonts w:ascii="仿宋_GB2312" w:eastAsia="仿宋_GB2312" w:hint="eastAsia"/>
          <w:sz w:val="32"/>
          <w:szCs w:val="32"/>
        </w:rPr>
        <w:t>处侯园园</w:t>
      </w:r>
      <w:proofErr w:type="gramEnd"/>
      <w:r w:rsidRPr="00387768">
        <w:rPr>
          <w:rFonts w:ascii="仿宋_GB2312" w:eastAsia="仿宋_GB2312" w:hint="eastAsia"/>
          <w:sz w:val="32"/>
          <w:szCs w:val="32"/>
        </w:rPr>
        <w:t>OA。</w:t>
      </w:r>
    </w:p>
    <w:p w:rsidR="00387768" w:rsidRPr="001A236D" w:rsidRDefault="00387768" w:rsidP="001A236D">
      <w:pPr>
        <w:spacing w:line="560" w:lineRule="exact"/>
        <w:jc w:val="center"/>
        <w:rPr>
          <w:rFonts w:ascii="仿宋_GB2312" w:eastAsia="仿宋_GB2312"/>
          <w:sz w:val="32"/>
          <w:szCs w:val="32"/>
        </w:rPr>
      </w:pPr>
      <w:r w:rsidRPr="00387768">
        <w:rPr>
          <w:rFonts w:ascii="仿宋_GB2312" w:eastAsia="仿宋_GB2312" w:hint="eastAsia"/>
          <w:sz w:val="32"/>
          <w:szCs w:val="32"/>
        </w:rPr>
        <w:t>5.我校联系人：陈彬、侯园园，联系电话：6168、6395</w:t>
      </w:r>
      <w:bookmarkStart w:id="0" w:name="_GoBack"/>
      <w:bookmarkEnd w:id="0"/>
    </w:p>
    <w:sectPr w:rsidR="00387768" w:rsidRPr="001A23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AD"/>
    <w:rsid w:val="001A236D"/>
    <w:rsid w:val="001E20AD"/>
    <w:rsid w:val="00387768"/>
    <w:rsid w:val="00A92B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184</Words>
  <Characters>1054</Characters>
  <Application>Microsoft Office Word</Application>
  <DocSecurity>0</DocSecurity>
  <Lines>8</Lines>
  <Paragraphs>2</Paragraphs>
  <ScaleCrop>false</ScaleCrop>
  <Company>china</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2019-06-23T06:49:00Z</dcterms:created>
  <dcterms:modified xsi:type="dcterms:W3CDTF">2019-06-23T06:58:00Z</dcterms:modified>
</cp:coreProperties>
</file>